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55" w:rsidRPr="00C85155" w:rsidRDefault="00C85155" w:rsidP="00A37A74">
      <w:pPr>
        <w:tabs>
          <w:tab w:val="left" w:pos="99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85155">
        <w:rPr>
          <w:rFonts w:ascii="Times New Roman" w:eastAsia="Calibri" w:hAnsi="Times New Roman" w:cs="Times New Roman"/>
          <w:b/>
          <w:sz w:val="28"/>
          <w:szCs w:val="28"/>
        </w:rPr>
        <w:t>Условия финансового обеспечения проектов - общие требования и критерии, являющиеся основаниями для отбора проектов</w:t>
      </w:r>
      <w:r w:rsidR="00173495">
        <w:rPr>
          <w:rFonts w:ascii="Times New Roman" w:eastAsia="Calibri" w:hAnsi="Times New Roman" w:cs="Times New Roman"/>
          <w:b/>
          <w:sz w:val="28"/>
          <w:szCs w:val="28"/>
        </w:rPr>
        <w:t xml:space="preserve"> для финансирования Фондом.</w:t>
      </w:r>
    </w:p>
    <w:p w:rsidR="00C85155" w:rsidRPr="00C85155" w:rsidRDefault="00C85155" w:rsidP="00C85155">
      <w:pPr>
        <w:keepNext/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1" w:name="_Toc424118370"/>
      <w:bookmarkStart w:id="2" w:name="_Toc472350693"/>
      <w:r w:rsidRPr="00C85155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Введение</w:t>
      </w:r>
      <w:bookmarkEnd w:id="1"/>
      <w:bookmarkEnd w:id="2"/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Финансирование проектов осуществляется Фондом в соответствии со следующими условиями:</w:t>
      </w:r>
    </w:p>
    <w:p w:rsidR="00800C70" w:rsidRPr="00800C70" w:rsidRDefault="00800C70" w:rsidP="00C85155">
      <w:pPr>
        <w:numPr>
          <w:ilvl w:val="0"/>
          <w:numId w:val="3"/>
        </w:numPr>
        <w:tabs>
          <w:tab w:val="num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проекта условиям программы;</w:t>
      </w:r>
    </w:p>
    <w:p w:rsidR="00800C70" w:rsidRPr="00800C70" w:rsidRDefault="00800C70" w:rsidP="00C85155">
      <w:pPr>
        <w:numPr>
          <w:ilvl w:val="0"/>
          <w:numId w:val="3"/>
        </w:numPr>
        <w:tabs>
          <w:tab w:val="num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проекта критериям отбора проектов;</w:t>
      </w:r>
    </w:p>
    <w:p w:rsidR="00800C70" w:rsidRPr="00800C70" w:rsidRDefault="00800C70" w:rsidP="00C85155">
      <w:pPr>
        <w:numPr>
          <w:ilvl w:val="0"/>
          <w:numId w:val="3"/>
        </w:numPr>
        <w:tabs>
          <w:tab w:val="num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Заявителя требованиям, предъявляемым к претендентам на получение финансирования;</w:t>
      </w:r>
    </w:p>
    <w:p w:rsidR="00800C70" w:rsidRPr="00800C70" w:rsidRDefault="00800C70" w:rsidP="00C85155">
      <w:pPr>
        <w:numPr>
          <w:ilvl w:val="0"/>
          <w:numId w:val="3"/>
        </w:numPr>
        <w:tabs>
          <w:tab w:val="num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планируемых расходов перечню направлений целевого использования предоставляемого финансирования проекта;</w:t>
      </w:r>
    </w:p>
    <w:p w:rsidR="00800C70" w:rsidRPr="00800C70" w:rsidRDefault="00800C70" w:rsidP="00C85155">
      <w:pPr>
        <w:numPr>
          <w:ilvl w:val="0"/>
          <w:numId w:val="3"/>
        </w:numPr>
        <w:tabs>
          <w:tab w:val="num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софинансирование проекта со стороны</w:t>
      </w:r>
      <w:r w:rsidRPr="00800C70">
        <w:rPr>
          <w:rFonts w:ascii="Calibri" w:eastAsia="Calibri" w:hAnsi="Calibri" w:cs="Times New Roman"/>
        </w:rPr>
        <w:t xml:space="preserve"> </w:t>
      </w:r>
      <w:r w:rsidRPr="00800C70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автономного учреждения «Российский фонд технологического развития» (Фонд развития промышленности).</w:t>
      </w:r>
    </w:p>
    <w:p w:rsidR="00800C70" w:rsidRPr="00800C70" w:rsidRDefault="00800C70" w:rsidP="00C85155">
      <w:pPr>
        <w:keepNext/>
        <w:keepLines/>
        <w:widowControl w:val="0"/>
        <w:numPr>
          <w:ilvl w:val="0"/>
          <w:numId w:val="7"/>
        </w:numPr>
        <w:tabs>
          <w:tab w:val="num" w:pos="993"/>
        </w:tabs>
        <w:overflowPunct w:val="0"/>
        <w:autoSpaceDE w:val="0"/>
        <w:autoSpaceDN w:val="0"/>
        <w:adjustRightInd w:val="0"/>
        <w:spacing w:before="360" w:after="60" w:line="276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3" w:name="_Toc472350694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Основные термины и определения</w:t>
      </w:r>
      <w:bookmarkEnd w:id="3"/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37460690"/>
      <w:r w:rsidRPr="00800C70">
        <w:rPr>
          <w:rFonts w:ascii="Times New Roman" w:eastAsia="Calibri" w:hAnsi="Times New Roman" w:cs="Times New Roman"/>
          <w:b/>
          <w:sz w:val="24"/>
          <w:szCs w:val="24"/>
        </w:rPr>
        <w:t xml:space="preserve">Аффилированные лица – </w:t>
      </w:r>
      <w:r w:rsidRPr="00800C70">
        <w:rPr>
          <w:rFonts w:ascii="Times New Roman" w:eastAsia="Calibri" w:hAnsi="Times New Roman" w:cs="Times New Roman"/>
          <w:sz w:val="24"/>
          <w:szCs w:val="24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Бенефициарный владелец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bookmarkStart w:id="5" w:name="_Toc438817165"/>
      <w:r w:rsidRPr="00C8515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Государственная информационная система промышленности (ГИСП) - </w:t>
      </w:r>
      <w:r w:rsidRPr="00C8515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государственная информационная система, созданная в соответствии со ст. 14 Федерального закона от 31.12.2014 № 488-ФЗ «О промышленной политике в Российской Федерации».</w:t>
      </w:r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Группа лиц </w:t>
      </w:r>
      <w:r w:rsidRPr="00800C7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– совокупность физических и юридических лиц, каждое из которых </w:t>
      </w:r>
      <w:r w:rsidRPr="00800C70">
        <w:rPr>
          <w:rFonts w:ascii="Times New Roman" w:eastAsia="Calibri" w:hAnsi="Times New Roman" w:cs="Times New Roman"/>
          <w:sz w:val="24"/>
          <w:szCs w:val="24"/>
        </w:rPr>
        <w:t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00C7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Заем –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целевой заем, предоставленный Фондом в качестве финансирования проектов субъектам деятельности в сфере промышленности.</w:t>
      </w:r>
      <w:bookmarkEnd w:id="5"/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Заявитель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российский субъект деятельности в сфере промышленности, осуществляющий свою деятельность на территории Московской области, предоставивший документы в Фонд для участия в программах финансирования.</w:t>
      </w:r>
    </w:p>
    <w:bookmarkEnd w:id="4"/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Ключевой исполнитель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поставщик промышленного оборудования, подрядчик на выполнение работ (услуг), на которого приходится выплата Заемщиком более чем 20% от суммы займа в ходе реализации проекта.</w:t>
      </w:r>
    </w:p>
    <w:p w:rsidR="00800C70" w:rsidRPr="00173495" w:rsidRDefault="00800C70" w:rsidP="001734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Критические замечания – </w:t>
      </w:r>
      <w:r w:rsidRPr="00800C7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недостатки, выявленные в ходе экспертизы и отбора проектов, внешние и внутренние ограничения, которые могут препятствовать успешной </w:t>
      </w:r>
      <w:r w:rsidRPr="00800C7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lastRenderedPageBreak/>
        <w:t xml:space="preserve">реализации проекта ввиду того, что они являются существенными и не были учтены при его подготовке, но при этом </w:t>
      </w:r>
      <w:r w:rsidRPr="00800C70">
        <w:rPr>
          <w:rFonts w:ascii="Times New Roman" w:eastAsia="Calibri" w:hAnsi="Times New Roman" w:cs="Times New Roman"/>
          <w:sz w:val="24"/>
          <w:szCs w:val="24"/>
        </w:rPr>
        <w:t>не являющиеся безусловным препятствием для</w:t>
      </w:r>
      <w:r w:rsidR="00173495">
        <w:rPr>
          <w:rFonts w:ascii="Times New Roman" w:eastAsia="Calibri" w:hAnsi="Times New Roman" w:cs="Times New Roman"/>
          <w:sz w:val="24"/>
          <w:szCs w:val="24"/>
        </w:rPr>
        <w:t xml:space="preserve"> финансирования проекта Фондом.</w:t>
      </w:r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Основные участники проекта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лица, участие которых в рассматриваемом проекте является критичным для его успешной реализации, включая 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проекту (финансовые организации, инвесторы, поручители, гаранты, залогодатели); лица, предоставляющие доступ к ключевым активам по проекту (например, патент, технологию/ноу-хау, земельный участок); лизинговые компании; банки. </w:t>
      </w:r>
    </w:p>
    <w:p w:rsidR="00C85155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Обеспечение возврата займа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виды обеспечения, принимаемые Фондом и предусмотренные </w:t>
      </w:r>
      <w:bookmarkStart w:id="6" w:name="_Hlk478764405"/>
      <w:r w:rsidRPr="00C85155">
        <w:rPr>
          <w:rFonts w:ascii="Times New Roman" w:eastAsia="Calibri" w:hAnsi="Times New Roman" w:cs="Times New Roman"/>
          <w:sz w:val="24"/>
          <w:szCs w:val="24"/>
        </w:rPr>
        <w:t>Положением о порядке обеспечения возврата займов, предоставленных в качестве финансирования проектов некоммерческой организацией «Государственный фонд развития промышленности Московской области» № ПФ-02-2017</w:t>
      </w:r>
      <w:bookmarkEnd w:id="6"/>
      <w:r w:rsidR="00C85155" w:rsidRPr="00C85155">
        <w:rPr>
          <w:rFonts w:ascii="Times New Roman" w:eastAsia="Calibri" w:hAnsi="Times New Roman" w:cs="Times New Roman"/>
          <w:sz w:val="24"/>
          <w:szCs w:val="24"/>
        </w:rPr>
        <w:t>.</w:t>
      </w:r>
      <w:r w:rsidRPr="00C851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Общий бюджет проекта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сумма всех затрат по проекту (не включая проценты по договору займа между Заявителем, </w:t>
      </w:r>
      <w:r w:rsidRPr="00C85155">
        <w:rPr>
          <w:rFonts w:ascii="Times New Roman" w:eastAsia="Calibri" w:hAnsi="Times New Roman" w:cs="Times New Roman"/>
          <w:sz w:val="24"/>
          <w:szCs w:val="24"/>
        </w:rPr>
        <w:t xml:space="preserve">Фондом и Федеральным </w:t>
      </w:r>
      <w:r w:rsidRPr="00800C70">
        <w:rPr>
          <w:rFonts w:ascii="Times New Roman" w:eastAsia="Calibri" w:hAnsi="Times New Roman" w:cs="Times New Roman"/>
          <w:sz w:val="24"/>
          <w:szCs w:val="24"/>
        </w:rPr>
        <w:t>Фондом, а также по договорам по привлечению финансирования): общая сумма ранее осуществленных и планируемых инвестиций в проект (понесенных не ранее двух лет, предшествующих дате подачи Заявки), включая затраты на подготовку проекта и предпроектные работы (подготовка проектно-сметной документации, получение необходимых согласований и разрешений, проектно-изыскательские работы и т.д.), проектные работы (строительные, монтажные, пуско-наладочные работы и т.д.), капитальные вложения (приобретение зданий, сооружений и оборудования и т.д.), подбор и обучение персонала, инвестиции и оборотный капитал и иные затраты. 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указываются отдельно по фактической величине понесенных и документально подтвержденных затрат.</w:t>
      </w:r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 xml:space="preserve">Проект – </w:t>
      </w:r>
      <w:r w:rsidRPr="00800C70">
        <w:rPr>
          <w:rFonts w:ascii="Times New Roman" w:eastAsia="Calibri" w:hAnsi="Times New Roman" w:cs="Times New Roman"/>
          <w:sz w:val="24"/>
          <w:szCs w:val="24"/>
        </w:rPr>
        <w:t>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предприятия/производства и/или его модернизацию для внедрения новых технологий и продукции.</w:t>
      </w:r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Субъект деятельности в сфере промышленности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российское юридическое лицо, осуществляющее деятельность в сфере промышленности на территории Московской области.</w:t>
      </w:r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Технологическое перевооружение и модернизация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комплекс мероприятий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 </w:t>
      </w:r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478687526"/>
      <w:r w:rsidRPr="00800C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Фонд </w:t>
      </w:r>
      <w:r w:rsidRPr="00800C7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– </w:t>
      </w:r>
      <w:r w:rsidRPr="00800C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00C70">
        <w:rPr>
          <w:rFonts w:ascii="Times New Roman" w:eastAsia="Calibri" w:hAnsi="Times New Roman" w:cs="Times New Roman"/>
          <w:sz w:val="24"/>
          <w:szCs w:val="24"/>
        </w:rPr>
        <w:t>некоммерческая организация «Государственный фонд развития промышленности Московской области».</w:t>
      </w:r>
      <w:bookmarkEnd w:id="7"/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Федеральный Фонд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- Федеральное государственное автономное учреждение «Российский фонд технологического развития» (Федеральный Фонд развития промышленности)</w:t>
      </w:r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 xml:space="preserve">Экспертный совет – </w:t>
      </w:r>
      <w:r w:rsidRPr="00800C70">
        <w:rPr>
          <w:rFonts w:ascii="Times New Roman" w:eastAsia="Calibri" w:hAnsi="Times New Roman" w:cs="Times New Roman"/>
          <w:sz w:val="24"/>
          <w:szCs w:val="24"/>
        </w:rPr>
        <w:t>коллегиальный орган управления Фонда, к компетенции которого относится принятие решения о предоставлении финансовой поддержки по проектам.</w:t>
      </w:r>
    </w:p>
    <w:p w:rsidR="00800C70" w:rsidRPr="00800C70" w:rsidRDefault="00800C70" w:rsidP="00800C70">
      <w:pPr>
        <w:keepNext/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8" w:name="_Toc472350695"/>
      <w:bookmarkStart w:id="9" w:name="_Toc437460692"/>
      <w:bookmarkStart w:id="10" w:name="_Toc424117593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lastRenderedPageBreak/>
        <w:t xml:space="preserve">Условия </w:t>
      </w:r>
      <w:bookmarkEnd w:id="8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программы</w:t>
      </w:r>
      <w:bookmarkStart w:id="11" w:name="_Toc424117594"/>
      <w:bookmarkEnd w:id="9"/>
      <w:bookmarkEnd w:id="10"/>
    </w:p>
    <w:p w:rsidR="00800C70" w:rsidRPr="00800C70" w:rsidRDefault="00800C70" w:rsidP="00800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0C70">
        <w:rPr>
          <w:rFonts w:ascii="Times New Roman" w:eastAsia="Calibri" w:hAnsi="Times New Roman" w:cs="Times New Roman"/>
          <w:i/>
          <w:sz w:val="24"/>
          <w:szCs w:val="24"/>
        </w:rPr>
        <w:t>В соответствии с программой "Проекты развития" производится заемное финансирование проектов, реализуемых по приоритетным направлениям российской промышленности в отра</w:t>
      </w:r>
      <w:r w:rsidR="00617FF3">
        <w:rPr>
          <w:rFonts w:ascii="Times New Roman" w:eastAsia="Calibri" w:hAnsi="Times New Roman" w:cs="Times New Roman"/>
          <w:i/>
          <w:sz w:val="24"/>
          <w:szCs w:val="24"/>
        </w:rPr>
        <w:t>слях, указанных в Приложении № 2</w:t>
      </w:r>
      <w:r w:rsidRPr="00800C70">
        <w:rPr>
          <w:rFonts w:ascii="Times New Roman" w:eastAsia="Calibri" w:hAnsi="Times New Roman" w:cs="Times New Roman"/>
          <w:i/>
          <w:sz w:val="24"/>
          <w:szCs w:val="24"/>
        </w:rPr>
        <w:t xml:space="preserve">, и направленных </w:t>
      </w:r>
      <w:r w:rsidRPr="00800C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 разработку и внедрение на предприятиях перспективных технологий, соответствующих принципам наилучших доступных технологий (в том числе базовых отраслевых технологий),</w:t>
      </w:r>
      <w:r w:rsidRPr="00800C70">
        <w:rPr>
          <w:rFonts w:ascii="Times New Roman" w:eastAsia="Calibri" w:hAnsi="Times New Roman" w:cs="Times New Roman"/>
          <w:i/>
          <w:sz w:val="24"/>
          <w:szCs w:val="24"/>
        </w:rPr>
        <w:t xml:space="preserve"> на производство новой конкурентоспособной и высокотехнологичной продукции гражданского назначения с импортозамещающим или экспортным потенциалом.</w:t>
      </w:r>
    </w:p>
    <w:p w:rsidR="00800C70" w:rsidRPr="00800C70" w:rsidRDefault="00C85155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0C70" w:rsidRPr="00800C70">
        <w:rPr>
          <w:rFonts w:ascii="Times New Roman" w:eastAsia="Calibri" w:hAnsi="Times New Roman" w:cs="Times New Roman"/>
          <w:sz w:val="24"/>
          <w:szCs w:val="24"/>
        </w:rPr>
        <w:t>.1. В рамках программы осуществляется финансирование проектов, соответствующих следующим требованиям:</w:t>
      </w:r>
    </w:p>
    <w:p w:rsidR="00800C70" w:rsidRPr="00800C70" w:rsidRDefault="00800C70" w:rsidP="00FA4EAD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срок займа – не более 5 лет; </w:t>
      </w:r>
    </w:p>
    <w:p w:rsidR="00800C70" w:rsidRPr="00800C70" w:rsidRDefault="00800C70" w:rsidP="00FA4EAD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общий бюджет проекта - не менее 40 млн руб.;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сумма займа – от 20 до 100 млн руб.;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целевой объем продаж новой продукции - не менее 50% от суммы займа в год, начиная со 2 года серийного производства;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обязательств по софинансированию проекта со стороны Заявителя, частных инвесторов или за счет банковских кредитов в объеме не менее 50% общего бюджета проекта</w:t>
      </w:r>
      <w:r w:rsidRPr="00800C70">
        <w:rPr>
          <w:rFonts w:ascii="Arial" w:eastAsia="Calibri" w:hAnsi="Arial" w:cs="Arial"/>
          <w:sz w:val="24"/>
          <w:szCs w:val="24"/>
        </w:rPr>
        <w:t xml:space="preserve">. </w:t>
      </w:r>
    </w:p>
    <w:p w:rsidR="00800C70" w:rsidRPr="00800C70" w:rsidRDefault="00800C70" w:rsidP="00800C70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Экспертный совет Фонда при принятии решения о финансировании проекта определяет сумму и срок займа, исходя из особенностей проекта и финансового состояния Заявителя, но не более суммы, запрошенной Заявителем.</w:t>
      </w:r>
    </w:p>
    <w:p w:rsidR="00800C70" w:rsidRPr="00800C70" w:rsidRDefault="00800C70" w:rsidP="00800C70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При расчете объема софинансирования проекта со стороны Заявителя, частных инвесторов или за счет банковских кредитов:</w:t>
      </w:r>
    </w:p>
    <w:p w:rsidR="00800C70" w:rsidRPr="00800C70" w:rsidRDefault="00800C70" w:rsidP="00FA4E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Экспертным советом Фонда; </w:t>
      </w:r>
    </w:p>
    <w:p w:rsidR="00800C70" w:rsidRPr="00800C70" w:rsidRDefault="00800C70" w:rsidP="00FA4E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не учитываются инвестиции, осуществляемые (осуществленные) за счет средств, выделяемых напрямую для поддержки проектов из бюджета (субсидии и т.п.);</w:t>
      </w:r>
    </w:p>
    <w:p w:rsidR="00800C70" w:rsidRPr="00800C70" w:rsidRDefault="00800C70" w:rsidP="00FA4E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не учитываются доходы в виде денежного потока, генерируемого проектом.</w:t>
      </w:r>
    </w:p>
    <w:p w:rsidR="00800C70" w:rsidRPr="00800C70" w:rsidRDefault="00800C70" w:rsidP="00800C70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Софинансирование за счет собственных средств Заявителя (и/или аффилированных лиц, бенефициаров Заявителя) в размере не менее 15% от суммы займа должно быть осуществлено в следующий период: не ранее 2 лет до даты подачи Заявки и не позднее 6 месяцев с даты заключения договора Займа.</w:t>
      </w:r>
    </w:p>
    <w:p w:rsidR="00800C70" w:rsidRPr="00800C70" w:rsidRDefault="00C85155" w:rsidP="00800C70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0C70" w:rsidRPr="00800C70">
        <w:rPr>
          <w:rFonts w:ascii="Times New Roman" w:eastAsia="Calibri" w:hAnsi="Times New Roman" w:cs="Times New Roman"/>
          <w:sz w:val="24"/>
          <w:szCs w:val="24"/>
        </w:rPr>
        <w:t>.2. В рамках данной программы Фонд осуществляет финансирование проектов совместно с Федеральным Фондом развития промышленности, с</w:t>
      </w:r>
      <w:r w:rsidR="00800C70" w:rsidRPr="00800C70">
        <w:rPr>
          <w:rFonts w:ascii="Calibri" w:eastAsia="Calibri" w:hAnsi="Calibri" w:cs="Times New Roman"/>
        </w:rPr>
        <w:t xml:space="preserve"> </w:t>
      </w:r>
      <w:r w:rsidR="00800C70" w:rsidRPr="00800C70">
        <w:rPr>
          <w:rFonts w:ascii="Times New Roman" w:eastAsia="Calibri" w:hAnsi="Times New Roman" w:cs="Times New Roman"/>
          <w:sz w:val="24"/>
          <w:szCs w:val="24"/>
        </w:rPr>
        <w:t>которыми заключено соответствующее соглашение.</w:t>
      </w:r>
    </w:p>
    <w:p w:rsidR="00800C70" w:rsidRPr="00800C70" w:rsidRDefault="00800C70" w:rsidP="00800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Параметры участия каждого из фондов в финансировании проектов определяются соглашениями, заключенными между Фондом и Федеральным Фондом.</w:t>
      </w:r>
    </w:p>
    <w:p w:rsidR="00800C70" w:rsidRPr="00800C70" w:rsidRDefault="00800C70" w:rsidP="00800C70">
      <w:pPr>
        <w:keepNext/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12" w:name="_Toc437460693"/>
      <w:bookmarkStart w:id="13" w:name="_Toc472350696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 xml:space="preserve">Критерии отбора проектов для </w:t>
      </w:r>
      <w:bookmarkEnd w:id="11"/>
      <w:bookmarkEnd w:id="12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финансирования</w:t>
      </w:r>
      <w:bookmarkEnd w:id="13"/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4.1. В рамках отбора проектов для финансирования со стороны Фонда осуществляется оценка проектов на соответствие следующим критериям: 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рыночная перспективность и потенциал импортозамещения/экспортный </w:t>
      </w:r>
      <w:r w:rsidRPr="00FA4EAD">
        <w:rPr>
          <w:rFonts w:ascii="Times New Roman" w:eastAsia="Calibri" w:hAnsi="Times New Roman" w:cs="Times New Roman"/>
          <w:sz w:val="24"/>
          <w:szCs w:val="24"/>
        </w:rPr>
        <w:t>потенциал продукта;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научно-техническая перспективность продукта и проекта, включая соответствие принципам наилучших доступных технологий;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>производственная обоснованность проекта и стратегическая заинтересованность компании в его реализации;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финансово-экономическая эффективность и устойчивость проекта;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финансовая состоятельность Заявителя; 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качество и достаточность обеспечения возврата займа;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юридическая состоятельность Заявителя, лиц, предоставивших обеспечение, ключевых исполнителей и схемы реализации проекта.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4.2. 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00C70">
        <w:rPr>
          <w:rFonts w:ascii="Times New Roman" w:eastAsia="Calibri" w:hAnsi="Times New Roman" w:cs="Times New Roman"/>
          <w:sz w:val="24"/>
          <w:szCs w:val="24"/>
        </w:rPr>
        <w:t>Рыночная перспективность и потенциал импортозамещения/экспортный потенциал продукта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осуществляется, в частности, экспертиза соответствия Проекта одному или нескольким из следующих параметров: </w:t>
      </w:r>
    </w:p>
    <w:p w:rsidR="00800C70" w:rsidRPr="00800C70" w:rsidRDefault="00800C70" w:rsidP="00550F8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рынка для продукта;</w:t>
      </w:r>
    </w:p>
    <w:p w:rsidR="00800C70" w:rsidRPr="00800C70" w:rsidRDefault="00800C70" w:rsidP="00550F8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положительная динамика развития рынка;</w:t>
      </w:r>
    </w:p>
    <w:p w:rsidR="00800C70" w:rsidRPr="00800C70" w:rsidRDefault="00800C70" w:rsidP="00550F8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выпускаемая продукция имеет конкурентные преимущества относительно российских или зарубежных аналогов, представленных на рынке, или по своим технико-экономическим параметрам соответствует мировому уровню или превышает его;</w:t>
      </w:r>
    </w:p>
    <w:p w:rsidR="00800C70" w:rsidRPr="00800C70" w:rsidRDefault="00800C70" w:rsidP="00550F8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сбыт выпускаемой продукции направлен на замещение импорта на внутреннем рынке, в том числе отнесение продукта к категории импортозамещающих согласно отраслевым планам, утверждаемым федеральным органом исполнительной власти, уполномоченным Правительством РФ; </w:t>
      </w:r>
    </w:p>
    <w:p w:rsidR="00800C70" w:rsidRPr="00800C70" w:rsidRDefault="00800C70" w:rsidP="00550F8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сбыт выпускаемой продукции ориентирован на экспорт.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4.3. 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00C70">
        <w:rPr>
          <w:rFonts w:ascii="Times New Roman" w:eastAsia="Calibri" w:hAnsi="Times New Roman" w:cs="Times New Roman"/>
          <w:sz w:val="24"/>
          <w:szCs w:val="24"/>
        </w:rPr>
        <w:t>Научно-техническая перспективность продукта и проекта, включая соответствие принципам наилучших доступных технологий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осуществляется, в частности, экспертиза соответствия Проекта одному или нескольким из следующих параметров: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отнесение внедряемых новых технологий к приоритетным направлениям развития науки, технологий и техники в Российской Федерации, в частности, соответствуют перечню критических технологий, утвержденному указом Президента Российской Федерации № 899 от 07.07.2011;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новизна технических решений относительно российского технического уровня; 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отнесение получаемой в ходе реализации проекта продукции к промышленной продукции, не имеющей аналогов, производимых в Российской Федерации;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разработок и внедряемых технологий принципам наилучших доступных технологий, в том числе утвержденным информационно-технологическим справочникам по наилучшим доступным технологиям;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у получаемой в ходе реализации проекта промышленной продукции потенциала импортозамещения;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техническая реализуемость проекта;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научно-технического задела и подтверждение прав Заявителя на него.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4.4. 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00C70">
        <w:rPr>
          <w:rFonts w:ascii="Times New Roman" w:eastAsia="Calibri" w:hAnsi="Times New Roman" w:cs="Times New Roman"/>
          <w:sz w:val="24"/>
          <w:szCs w:val="24"/>
        </w:rPr>
        <w:t>Производственная обоснованность проекта и стратегическая заинтересованность компании в его реализации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осуществляется, в частности, экспертиза по следующим параметрам: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бизнес-плане;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отсутствие критической зависимости проекта от импортного сырья или комплектующих; 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соответствие проекта основной деятельности компании и ее бизнес-стратегии, стратегическая важность проекта для компании, заинтересованность компании в его реализации;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наличие материально-технической базы для выполнения разработки у Заявителя; 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обоснованность графика и сроков мероприятий разработки нового продукта; 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обоснованность бюджета на разработку нового продукта;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необходимых для разработки компетенций, профессиональная репутация проектной команды Заявителя.</w:t>
      </w:r>
    </w:p>
    <w:p w:rsidR="00800C70" w:rsidRPr="00800C70" w:rsidRDefault="00800C70" w:rsidP="00800C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4.5. 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00C70">
        <w:rPr>
          <w:rFonts w:ascii="Times New Roman" w:eastAsia="Calibri" w:hAnsi="Times New Roman" w:cs="Times New Roman"/>
          <w:sz w:val="24"/>
          <w:szCs w:val="24"/>
        </w:rPr>
        <w:t>Финансово-экономическая эффективность и устойчивость проекта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осуществляется, в частности, экспертиза финансовых ресурсов Заявителя по следующим параметрам: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обоснованность и достаточность планируемых финансовых ресурсов для реализации проекта;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в полном объеме необходимых финансовых ресурсов, достаточных для обслуживания и погашения займа Фонда Заявителем, в т.ч. за счет денежных потоков, генерируемых проектом, либо подтверждена возможность обслуживания займа Фонда за счет денежных потоков от текущей деятельности Заявителя;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сумма чистого дисконтированного денежного потока, генерируемого проектом (net present value, NPV), положительна;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бизнес-план содержит необходимую информацию с обоснованными оценками параметров, критических для достижения целей проекта, и не содержит внутренних противоречий.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4.6. Для оценки соответствия проекта критерию «Финансовая состоятельность Заявителя» осуществляется, в частности, экспертиза по следующим параметрам: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4.7. Для оценки соответствия проекта критерию «Обеспечение возврата займа» осуществляется экспертиза на соответствие предоставленного Заявителем обеспечения возврата займа требованиям Положения Фонда № ПФ-02-2017, предъявляемым к качеству и достаточности обеспечения.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4.8. 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00C70">
        <w:rPr>
          <w:rFonts w:ascii="Times New Roman" w:eastAsia="Calibri" w:hAnsi="Times New Roman" w:cs="Times New Roman"/>
          <w:sz w:val="24"/>
          <w:szCs w:val="24"/>
        </w:rPr>
        <w:t>Юридическая состоятельность Заявителя, лиц, предоставивших обеспечение и схемы реализации проекта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осуществляется, в частности, экспертиза по следующим параметрам: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учредительных документов Заявителя, лиц, предоставивших обеспечение, действующему законодательству;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прозрачность состава участников (акционеров) / бенефициарных владельцев Заявителя, лиц, предоставивших обеспечение;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отсутствие открытых судебных разбирательств или неурегулированных требований, прямо влияющих на реализацию проекта (включая разбирательства с кредитными организациями или институтами развития), или в объеме, превышающем 10% </w:t>
      </w: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>от стоимости балансовых активов Заявителя / лиц, предоставивших обеспечение;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отсутствие процедуры банкротства, ликвидации,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 имущество);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4.9.</w:t>
      </w:r>
      <w:r w:rsidRPr="00800C70">
        <w:rPr>
          <w:rFonts w:ascii="Arial" w:eastAsia="Calibri" w:hAnsi="Arial" w:cs="Arial"/>
          <w:sz w:val="24"/>
          <w:szCs w:val="24"/>
        </w:rPr>
        <w:t xml:space="preserve"> </w:t>
      </w:r>
      <w:r w:rsidRPr="00800C70">
        <w:rPr>
          <w:rFonts w:ascii="Times New Roman" w:eastAsia="Calibri" w:hAnsi="Times New Roman" w:cs="Times New Roman"/>
          <w:sz w:val="24"/>
          <w:szCs w:val="24"/>
        </w:rPr>
        <w:t>В случае привлечения для реализации проекта ключевого исполнителя Фонд осуществляет оценку соответствия такого лица требованиям к ключевому исполнителю.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00C70">
        <w:rPr>
          <w:rFonts w:ascii="Times New Roman" w:eastAsia="Calibri" w:hAnsi="Times New Roman" w:cs="Times New Roman"/>
          <w:sz w:val="24"/>
          <w:szCs w:val="24"/>
        </w:rPr>
        <w:t>Производственная обоснованность привлечения ключевого исполнителя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осуществляется, в частности, экспертиза по следующим параметрам: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производственных активов и материально-технической базы у ключевого исполнителя;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выполняемых работ по проекту основной деятельности компании;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обоснованность бюджета;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необходимых для разработки компетенций, профессиональная репутация ключевого исполнителя</w:t>
      </w:r>
      <w:r w:rsidRPr="00800C70">
        <w:rPr>
          <w:rFonts w:ascii="Arial" w:eastAsia="Calibri" w:hAnsi="Arial" w:cs="Arial"/>
          <w:sz w:val="24"/>
          <w:szCs w:val="24"/>
        </w:rPr>
        <w:t>.</w:t>
      </w:r>
    </w:p>
    <w:p w:rsidR="00800C70" w:rsidRPr="00800C70" w:rsidRDefault="00800C70" w:rsidP="003B5323">
      <w:pPr>
        <w:widowControl w:val="0"/>
        <w:tabs>
          <w:tab w:val="left" w:pos="993"/>
          <w:tab w:val="left" w:pos="1134"/>
        </w:tabs>
        <w:spacing w:before="120"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 w:bidi="ru-RU"/>
        </w:rPr>
      </w:pPr>
      <w:r w:rsidRPr="00800C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 w:bidi="ru-RU"/>
        </w:rPr>
        <w:t>«</w:t>
      </w:r>
      <w:r w:rsidRPr="00800C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Юридическая состоятельность ключевого исполнителя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 w:bidi="ru-RU"/>
        </w:rPr>
        <w:t xml:space="preserve">» </w:t>
      </w:r>
      <w:r w:rsidRPr="00800C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осуществляется, в частности, экспертиза по следующим параметрам: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учредительных документов ключевого исполнителя действующему законодательству и деятельности по проекту;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прозрачность состава участников (акционеров) / бенефициарных владельцев ключевого исполнителя;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отсутствие открытых судебных разбирательств или неурегулированных требований, прямо влияющих на реализацию проекта, с участием ключевого исполнителя;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отсутствие процедуры банкротства, ликвидации ключевого исполнителя;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схемы предполагаемых сделок с Заявителем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4.10. Для целей </w:t>
      </w:r>
      <w:r w:rsidR="00173495">
        <w:rPr>
          <w:rFonts w:ascii="Times New Roman" w:eastAsia="Calibri" w:hAnsi="Times New Roman" w:cs="Times New Roman"/>
          <w:sz w:val="24"/>
          <w:szCs w:val="24"/>
        </w:rPr>
        <w:t>финансовой поддержки Фондом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идентификация бенефициарных владельцев не проводится в отношении лиц, являющихся:</w:t>
      </w:r>
    </w:p>
    <w:p w:rsidR="00800C70" w:rsidRPr="00800C70" w:rsidRDefault="00800C70" w:rsidP="003B5323">
      <w:pPr>
        <w:numPr>
          <w:ilvl w:val="0"/>
          <w:numId w:val="3"/>
        </w:numPr>
        <w:shd w:val="clear" w:color="auto" w:fill="FFFFFF"/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800C70" w:rsidRPr="00800C70" w:rsidRDefault="00800C70" w:rsidP="003B5323">
      <w:pPr>
        <w:numPr>
          <w:ilvl w:val="0"/>
          <w:numId w:val="3"/>
        </w:numPr>
        <w:shd w:val="clear" w:color="auto" w:fill="FFFFFF"/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800C70" w:rsidRPr="00800C70" w:rsidRDefault="00800C70" w:rsidP="003B5323">
      <w:pPr>
        <w:numPr>
          <w:ilvl w:val="0"/>
          <w:numId w:val="3"/>
        </w:numPr>
        <w:shd w:val="clear" w:color="auto" w:fill="FFFFFF"/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России,</w:t>
      </w:r>
      <w:r w:rsidRPr="00800C70">
        <w:rPr>
          <w:rFonts w:ascii="Times New Roman" w:eastAsia="Calibri" w:hAnsi="Times New Roman" w:cs="Times New Roman"/>
          <w:sz w:val="20"/>
          <w:szCs w:val="24"/>
          <w:vertAlign w:val="superscript"/>
        </w:rPr>
        <w:footnoteReference w:id="1"/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либо раскрывающими информацию о владельцах на общедоступных ресурсах на ином основании;</w:t>
      </w:r>
    </w:p>
    <w:p w:rsidR="00800C70" w:rsidRPr="00800C70" w:rsidRDefault="00800C70" w:rsidP="003B5323">
      <w:pPr>
        <w:numPr>
          <w:ilvl w:val="0"/>
          <w:numId w:val="3"/>
        </w:numPr>
        <w:shd w:val="clear" w:color="auto" w:fill="FFFFFF"/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>дочерними обществами иностранных структур, организационная форма которых не предусматривает наличия бенефициарного владельца.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4.11. Для целей </w:t>
      </w:r>
      <w:r w:rsidR="00FA4EAD">
        <w:rPr>
          <w:rFonts w:ascii="Times New Roman" w:eastAsia="Calibri" w:hAnsi="Times New Roman" w:cs="Times New Roman"/>
          <w:sz w:val="24"/>
          <w:szCs w:val="24"/>
        </w:rPr>
        <w:t>финансирования Фондом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№ 108н) или иной аналогичный документ, действующий на дату проведения экспертизы.</w:t>
      </w:r>
    </w:p>
    <w:p w:rsidR="00800C70" w:rsidRPr="00800C70" w:rsidRDefault="00800C70" w:rsidP="0080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Для целей </w:t>
      </w:r>
      <w:r w:rsidR="00FA4EAD">
        <w:rPr>
          <w:rFonts w:ascii="Times New Roman" w:eastAsia="Calibri" w:hAnsi="Times New Roman" w:cs="Times New Roman"/>
          <w:sz w:val="24"/>
          <w:szCs w:val="24"/>
        </w:rPr>
        <w:t>финансирования Фондом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избежании двойного налогообложения.</w:t>
      </w:r>
      <w:r w:rsidRPr="00800C70">
        <w:rPr>
          <w:rFonts w:ascii="Times New Roman" w:eastAsia="Calibri" w:hAnsi="Times New Roman" w:cs="Times New Roman"/>
          <w:sz w:val="20"/>
          <w:szCs w:val="24"/>
          <w:vertAlign w:val="superscript"/>
        </w:rPr>
        <w:footnoteReference w:id="2"/>
      </w:r>
    </w:p>
    <w:p w:rsidR="00800C70" w:rsidRPr="00800C70" w:rsidRDefault="00800C70" w:rsidP="00800C70">
      <w:pPr>
        <w:keepNext/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14" w:name="_Toc472350697"/>
      <w:bookmarkStart w:id="15" w:name="_Toc424117595"/>
      <w:bookmarkStart w:id="16" w:name="_Toc437460694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Направления целевого использования средств финансирования проекта</w:t>
      </w:r>
      <w:bookmarkEnd w:id="14"/>
      <w:bookmarkEnd w:id="15"/>
      <w:bookmarkEnd w:id="16"/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5.1. Средства, полученные для финансирования проекта со стороны Фонда, могут быть направлены на реализацию следующих мероприятий: 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5.1.1. Разработка нового продукта/технологии, включая: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>опытно-конструкторские и опытно-технологические работы;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 xml:space="preserve">технические, производственно-технологические, маркетинговые тестирования и испытания; 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>проведение патентных исследований (на патентную чистоту, выявление охраноспособных решений и др.), патентование разработанных решений, в т.ч. зарубежное патентование;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 xml:space="preserve"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</w:t>
      </w:r>
      <w:r w:rsidRPr="00800C7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зарубежные клинические исследования и испытания фармацевтической и медицинской продукции</w:t>
      </w:r>
      <w:r w:rsidRPr="00800C7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>приобретение расходных материалов для проведения мероприятий по настоящему разделу, в том числе, сырья и ресурсов для выпуска опытных, опытно-промышленных партий, испытаний оборудования и технологии до запуска в серийное производство – в объеме до 20% от суммы займа.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5.1.2. 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5.1.3. Разработка технико-экономического обоснования инвестиционной стадии проекта, прединвестиционный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</w:t>
      </w:r>
      <w:r w:rsidRPr="00800C70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9000, </w:t>
      </w:r>
      <w:r w:rsidRPr="00800C70">
        <w:rPr>
          <w:rFonts w:ascii="Times New Roman" w:eastAsia="Calibri" w:hAnsi="Times New Roman" w:cs="Times New Roman"/>
          <w:sz w:val="24"/>
          <w:szCs w:val="24"/>
          <w:lang w:val="en-US"/>
        </w:rPr>
        <w:t>LEAN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и пр.).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5.1.4. Приобретение прав на результаты интеллектуальной деятельности (лицензий и патентов) у российских или иностранных правообладателей.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5.1.5. Инжиниринг: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>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градостроительной деятельности.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5.1.6. Приобретение в собственность</w:t>
      </w:r>
      <w:r w:rsidRPr="00800C70">
        <w:rPr>
          <w:rFonts w:ascii="Times New Roman" w:eastAsia="Calibri" w:hAnsi="Times New Roman" w:cs="Times New Roman"/>
          <w:sz w:val="20"/>
          <w:szCs w:val="24"/>
          <w:vertAlign w:val="superscript"/>
        </w:rPr>
        <w:footnoteReference w:id="3"/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для целей технологического перевооружения и модернизации производства российского и/или импортного промышленного оборудования, а также его монтаж, наладка и иные мероприятия по его подготовке для серийного производства.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5.1.7. Общехозяйственные расходы по проекту – затраты на выполнение функций управления и обслуживания подразделений, реализующих проект - в объеме не более 15% от суммы займа: 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командировочные и транспортные расходы проектной команды (стоимость проезда и проживания);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затраты на охрану труда и противопожарные мероприятия, расходы на оплату услуг охраны, услуг по хранению имущества;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расходы на маркетинговое продвижение продукта; 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расходы по оплате информационных, аудиторских, консультационных и т.п. услуг, услуг связи, комиссий банков;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приобретение расходных материалов для оргтехники, бумаги и канцелярских принадлежностей, хозяйственного инвентаря;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5.2. Денежные средства, предоставленные Заявителю Фондом по договору займа, могут быть использованы исключительно на цели финансирования проекта и расходоваться на оплату труда, приобретение товаров, работ, услуг, а также уплату связанных с ними налогов и иных обязательных платежей.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Проекта и при соблюдении условий о софинансировании проекта, установленных в статье 3.  </w:t>
      </w:r>
    </w:p>
    <w:p w:rsidR="00800C70" w:rsidRPr="00800C70" w:rsidRDefault="00800C70" w:rsidP="00800C7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Средства, полученные для финансирования проекта со стороны Фонда, не могут быть направлены на реализацию следующих мероприятий: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>строительство или капитальный ремонт зданий, сооружений, коммуникаций для организации производства или общехозяйственного назначения;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приобретение сырья и ресурсов для выпуска промышленных партий продукции;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</w:t>
      </w:r>
      <w:r w:rsidR="00800482">
        <w:rPr>
          <w:rFonts w:ascii="Times New Roman" w:eastAsia="Calibri" w:hAnsi="Times New Roman" w:cs="Times New Roman"/>
          <w:sz w:val="24"/>
          <w:szCs w:val="24"/>
        </w:rPr>
        <w:t>Положениями Фонда</w:t>
      </w:r>
      <w:r w:rsidRPr="00800C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уплата процентов по заемным средствам, в том числе по Займу, предоставленному Фондом для финансирования проекта.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5.3. Перераспределение средств займа между направлениями целевого использования в рамках проекта в размере суммарно (за весь период пользования займом) превышающем 10% от суммы, предусмотренной сметой проекта по соответствующему направлению целевого использования, без увеличения итоговой суммы сметы, возможно при условии обоснования изменений Заявителем и получения согласования со стороны Фонда с проведением повторной производственно-технологической и финансово-экономической экспертиз.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5.4. Оплата приобретаемых товаров (работ, услуг) за счет средств займа ключевым исполнителям, не раскрытым на момент принятия Фондом решения о предоставлении финансирования проекта, возможна при условии получения согласования платежа со стороны Фонда с обязательным проведением дополнительной производственно-технологической и юридической экспертиз ключевого исполнителя.</w:t>
      </w:r>
    </w:p>
    <w:p w:rsidR="00800C70" w:rsidRPr="00800C70" w:rsidRDefault="00800C70" w:rsidP="00800C70">
      <w:pPr>
        <w:keepNext/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17" w:name="_Toc437460695"/>
      <w:bookmarkStart w:id="18" w:name="_Toc472350698"/>
      <w:bookmarkStart w:id="19" w:name="_Toc424117596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Требования к Заявителю</w:t>
      </w:r>
      <w:bookmarkEnd w:id="17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 xml:space="preserve"> и основным участникам проекта</w:t>
      </w:r>
      <w:bookmarkEnd w:id="18"/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6.1. Лицо, претендующее на получение денежных средств (Заявитель), должно соответствовать следующим требованиям: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являться юридическим лицом -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 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являться юридическим лицом или индивидуальным предпринимателем, осуществляющим деятельность в сфере промышленности на территории Московской области;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являться резидентом Российской Федерации;</w:t>
      </w:r>
      <w:r w:rsidRPr="00800C7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4"/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C70" w:rsidRPr="00800C70" w:rsidRDefault="00800C70" w:rsidP="003B5323">
      <w:pPr>
        <w:widowControl w:val="0"/>
        <w:numPr>
          <w:ilvl w:val="0"/>
          <w:numId w:val="6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</w:pP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не являться дочерним хозяйственным обществом</w:t>
      </w:r>
      <w:r w:rsidRPr="00800C70">
        <w:rPr>
          <w:rFonts w:ascii="Times New Roman" w:eastAsia="Times New Roman" w:hAnsi="Times New Roman" w:cs="Times New Roman"/>
          <w:spacing w:val="-6"/>
          <w:sz w:val="20"/>
          <w:szCs w:val="24"/>
          <w:vertAlign w:val="superscript"/>
          <w:lang w:eastAsia="ru-RU" w:bidi="ru-RU"/>
        </w:rPr>
        <w:footnoteReference w:id="5"/>
      </w: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</w:rPr>
        <w:t>бенефициарный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C70">
        <w:rPr>
          <w:rFonts w:ascii="Times New Roman" w:eastAsia="Times New Roman" w:hAnsi="Times New Roman" w:cs="Times New Roman"/>
          <w:sz w:val="24"/>
          <w:szCs w:val="24"/>
        </w:rPr>
        <w:t>раскрыть структуру собственности, предоставить список аффилированных лиц и сведения о конечных бенефициарах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на момент подачи заявки</w:t>
      </w:r>
      <w:r w:rsidRPr="00800C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не должно находиться в процессе реорганизации (за исключением реорганизации в форме преобразования, слияния или присоединения), ликвидации или банкротства на момент подачи заявки и/или получения займа.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6.2. Заявитель, его аффилированные лица, задействованные в реализации проекта как основные участники, не должны иметь просроченную задолженность по налогам, сборам и иным обязательным платежам в бюджеты бюджетной системы Российской </w:t>
      </w: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задолженность по заработной плате перед работниками, просроченную задолженность перед Фондом, зафиксированных фактов несвоевременного выполнения в прошлом обязательств перед Фондом, включая обязательств по возврату заемных денежных средств или по предоставлению отчетности о целевом использовании предоставленных денежных средств.</w:t>
      </w:r>
    </w:p>
    <w:p w:rsidR="00800C70" w:rsidRPr="00800C70" w:rsidRDefault="00800C70" w:rsidP="00800C70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00C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Предоставление финансирования проектов Заявителям, </w:t>
      </w:r>
      <w:r w:rsidRPr="00800C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входящим в одну Группу лиц с заемщиками, имеющими просроченную задолженность перед Фондом по займам, выданным за счет средств бюджета, осуществляется по решению Наблюдательного совета Фонда.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6.3. В случае, если между Заявителем и Фондом на дату подачи заявки действует договор (договоры) целевого займа,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50% балансовой стоимости активов Заявителя на последнюю отчетную дату.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Наблюдательный совет Фонда </w:t>
      </w:r>
      <w:bookmarkStart w:id="20" w:name="_Hlk480115521"/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определяет предельный размер суммарной доли заимствований, предоставляемых из </w:t>
      </w:r>
      <w:r w:rsidRPr="00C85155">
        <w:rPr>
          <w:rFonts w:ascii="Times New Roman" w:eastAsia="Calibri" w:hAnsi="Times New Roman" w:cs="Times New Roman"/>
          <w:sz w:val="24"/>
          <w:szCs w:val="24"/>
        </w:rPr>
        <w:t>средств целевого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финансирования Фонда заявителям, входящим в одну Группу лиц. </w:t>
      </w:r>
    </w:p>
    <w:bookmarkEnd w:id="20"/>
    <w:p w:rsidR="00800C70" w:rsidRPr="00800C70" w:rsidRDefault="00800C70" w:rsidP="00800C70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6.4. Лицо, заявленное в проекте как ключевой исполнитель, должно соответствовать следующим требованиям: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</w:rPr>
        <w:t>являться резидентом Российской Федерации</w:t>
      </w:r>
      <w:r w:rsidRPr="00800C70">
        <w:rPr>
          <w:rFonts w:ascii="Times New Roman" w:eastAsia="Times New Roman" w:hAnsi="Times New Roman" w:cs="Times New Roman"/>
          <w:spacing w:val="-6"/>
          <w:sz w:val="18"/>
          <w:vertAlign w:val="superscript"/>
        </w:rPr>
        <w:footnoteReference w:id="6"/>
      </w: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или иностранным юридическим лицом, не зарегистрированным в низконалоговой юрисдикции;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</w:rPr>
        <w:t>не должно находиться в процессе ликвидации или банкротства;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</w:rPr>
        <w:t>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Компетенции такого лица должны быть подтверждены предоставленной Заявителем информацией о ранее выполненных аналогичных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работах (услугах), произведенной продукции.</w:t>
      </w:r>
    </w:p>
    <w:p w:rsidR="00800C70" w:rsidRPr="00800C70" w:rsidRDefault="00800C70" w:rsidP="00800C70">
      <w:pPr>
        <w:keepNext/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21" w:name="_Toc437460696"/>
      <w:bookmarkStart w:id="22" w:name="_Toc472350699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Инструменты финансирования</w:t>
      </w:r>
      <w:bookmarkEnd w:id="19"/>
      <w:bookmarkEnd w:id="21"/>
      <w:bookmarkEnd w:id="22"/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7.1. Финансирование со стороны Фонда осуществляется путем предоставления целевого займа на условиях возмездности и возвратности.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7.2. Процентная ставка по предоставляемым целевым займам </w:t>
      </w:r>
      <w:r w:rsidRPr="00C85155">
        <w:rPr>
          <w:rFonts w:ascii="Times New Roman" w:eastAsia="Calibri" w:hAnsi="Times New Roman" w:cs="Times New Roman"/>
          <w:sz w:val="24"/>
          <w:szCs w:val="24"/>
        </w:rPr>
        <w:t>составляет 5 (Пять) процентов годовых.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7.3. Заем предоставляется на срок, не превышающий срок займа, предусмотренный условиями программы финансирования. Срок займа может быть установлен Экспертным советом более коротким, чем запрошенный Заявителем, с учетом особенностей реализации проекта и результата финансово-экономической экспертизы.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7.4.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</w:t>
      </w:r>
      <w:r w:rsidR="00800482">
        <w:rPr>
          <w:rFonts w:ascii="Times New Roman" w:eastAsia="Calibri" w:hAnsi="Times New Roman" w:cs="Times New Roman"/>
          <w:sz w:val="24"/>
          <w:szCs w:val="24"/>
        </w:rPr>
        <w:t>ения, предусмотренными Положение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м Фонда № ПФ-02-2017.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7.5.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</w:t>
      </w: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денежных средств, предоставленных в виде займа, также расчетный счет в иностранной валюте. 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Платежи с указанных счетов осуществляются Заявителем только по согласованию с Фондом в порядке, установленном соответствующими договорами.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7.6. 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7.8. Погашение основного долга по займу осуществляется Заявителем равными ежеквартальными платежами в течение последних двух лет срока займа.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Проценты по займу уплачиваются Заявителем </w:t>
      </w:r>
      <w:r w:rsidRPr="003B5323">
        <w:rPr>
          <w:rFonts w:ascii="Times New Roman" w:eastAsia="Calibri" w:hAnsi="Times New Roman" w:cs="Times New Roman"/>
          <w:sz w:val="24"/>
          <w:szCs w:val="24"/>
        </w:rPr>
        <w:t>ежеквартально</w:t>
      </w:r>
      <w:r w:rsidRPr="00800C70">
        <w:rPr>
          <w:rFonts w:ascii="Times New Roman" w:eastAsia="Calibri" w:hAnsi="Times New Roman" w:cs="Times New Roman"/>
          <w:sz w:val="24"/>
          <w:szCs w:val="24"/>
        </w:rPr>
        <w:t>, начиная с первого квартала после выдачи займа.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Иной порядок погашения суммы займа и процентов может быть установлен Экспертным советом с учетом особенностей реализации проекта.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7.9. 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- не позднее даты досрочного погашения.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7.10. Заявитель имеет право досрочно погасить заем полностью или частично при условии реализации проекта.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7.11. Фонд вправе потребовать уплатить вместо процентов, указанных в п. 7.2, проценты за пользование суммой займа (или его части, соответственно) в размере двукратной ключевой ставки Банка России, действующей в период с момента выдачи займа и до момента его полного возврата Фонду: 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в случае прекращения договора по инициативе Заявителя без завершения реализации проекта (отказа от проекта), за исключением случая, когда невозможность реализации проекта возникла по независящим от Заявителя причинам;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при выявлении Фондом факта нецелевого использования Заемщиком суммы займа (или его части), а также заведомого получения займа без намерения реализации проекта</w:t>
      </w:r>
      <w:r w:rsidRPr="00800C70">
        <w:rPr>
          <w:rFonts w:ascii="Arial" w:eastAsia="Calibri" w:hAnsi="Arial" w:cs="Arial"/>
          <w:sz w:val="24"/>
          <w:szCs w:val="24"/>
        </w:rPr>
        <w:t xml:space="preserve">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займа. </w:t>
      </w:r>
    </w:p>
    <w:p w:rsidR="00800C70" w:rsidRPr="00800C70" w:rsidRDefault="00800C70" w:rsidP="00800C7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23" w:name="_Toc471980687"/>
      <w:bookmarkStart w:id="24" w:name="_Toc472350700"/>
      <w:r w:rsidRPr="00800C70">
        <w:rPr>
          <w:rFonts w:ascii="Times New Roman" w:eastAsia="Calibri" w:hAnsi="Times New Roman" w:cs="Times New Roman"/>
          <w:sz w:val="24"/>
          <w:szCs w:val="24"/>
        </w:rPr>
        <w:t>7.12. Заявитель несет ответственность за неисполнение или ненадлежащее исполнение предусмотренных договором обязательств, включая следующие:</w:t>
      </w:r>
      <w:bookmarkEnd w:id="23"/>
      <w:bookmarkEnd w:id="24"/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неисполнение или ненадлежащее исполнение обязательств по возврату основного долга и/или уплате процентов за пользование займом -  пени в </w:t>
      </w:r>
      <w:r w:rsidRPr="00C85155">
        <w:rPr>
          <w:rFonts w:ascii="Times New Roman" w:eastAsia="Calibri" w:hAnsi="Times New Roman" w:cs="Times New Roman"/>
          <w:sz w:val="24"/>
          <w:szCs w:val="24"/>
        </w:rPr>
        <w:t>размере 0,1%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от несвоевременно уплаченной суммы за каждый день просрочки;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- пени в </w:t>
      </w:r>
      <w:r w:rsidRPr="00C85155">
        <w:rPr>
          <w:rFonts w:ascii="Times New Roman" w:eastAsia="Calibri" w:hAnsi="Times New Roman" w:cs="Times New Roman"/>
          <w:sz w:val="24"/>
          <w:szCs w:val="24"/>
        </w:rPr>
        <w:t>размере 0,001%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от суммы Займа за каждый день просрочки;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в случае нарушения Заявителем предусмотренного договором займа срока регистрации договора о предоставлении обеспечения (обременения) - пени в размере 0,001% от суммы Займа за каждый день просрочки.</w:t>
      </w:r>
    </w:p>
    <w:p w:rsidR="00800C70" w:rsidRPr="00800C70" w:rsidRDefault="00800C70" w:rsidP="003B5323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7.13. Условиями предоставления финансирования является согласие Заявителя: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представлять отчеты о ходе реализации проекта и достижении целевых показателей эффективности использования займа;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предоставлять информацию о проекте, получившем финансовую поддержку Фонда, и своей деятельности в сфере промышленности (производственная специализация, регистрационные данные, финансово-экономическое состояние, ключевые проекты, проекты импортозамещения, данные о результатах интеллектуальной деятельности) в Государственной информационной системе промышленности;</w:t>
      </w:r>
    </w:p>
    <w:p w:rsid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обеспечить возможность контроля Фондом действий самого Заявителя и основных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 обеспечение.</w:t>
      </w: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617FF3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bookmarkStart w:id="25" w:name="_Toc442440323"/>
      <w:bookmarkStart w:id="26" w:name="_Toc472350704"/>
    </w:p>
    <w:p w:rsidR="00617FF3" w:rsidRPr="00710DA3" w:rsidRDefault="00710DA3" w:rsidP="00617FF3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521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10D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Приложение № </w:t>
      </w:r>
      <w:bookmarkEnd w:id="25"/>
      <w:bookmarkEnd w:id="26"/>
      <w:r w:rsidR="00A37A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1</w:t>
      </w:r>
    </w:p>
    <w:p w:rsidR="00710DA3" w:rsidRDefault="00710DA3" w:rsidP="003B5323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FF3" w:rsidRPr="00617FF3" w:rsidRDefault="00617FF3" w:rsidP="00617F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FF3">
        <w:rPr>
          <w:rFonts w:ascii="Times New Roman" w:eastAsia="Calibri" w:hAnsi="Times New Roman" w:cs="Times New Roman"/>
          <w:b/>
          <w:sz w:val="28"/>
          <w:szCs w:val="28"/>
        </w:rPr>
        <w:t>Перечень отраслевых направлений, в рамках которых возможно получение финансовой поддержки Фонда развития промышленности на реализацию инвестиционных проектов</w:t>
      </w:r>
    </w:p>
    <w:p w:rsidR="00617FF3" w:rsidRPr="00710DA3" w:rsidRDefault="00617FF3" w:rsidP="00617F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710DA3" w:rsidRPr="00710DA3" w:rsidTr="00710DA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Раздел C "Обрабатывающие производства"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  <w:r w:rsidRPr="00710DA3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710D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класса</w:t>
            </w:r>
          </w:p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ОКВЭД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пищевых продуктов в части промышленных биотехнологий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текстильных изделий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одежды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кожи и изделий из кожи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бумаги и бумажных изделий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химических веществ и химических продуктов</w:t>
            </w:r>
          </w:p>
        </w:tc>
      </w:tr>
      <w:tr w:rsidR="00710DA3" w:rsidRPr="00710DA3" w:rsidTr="00710DA3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резиновых и пластмассовых изделий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прочей неметаллической минеральной продукции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металлургическое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готовых металлических изделий, кроме машин и оборудования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компьютеров, электронных и оптических изделий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электрического оборудования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автотранспортных средств, прицепов и полуприцепов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прочих транспортных средств и оборудования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мебели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прочих готовых изделий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Ремонт и монтаж машин и оборудования</w:t>
            </w:r>
          </w:p>
        </w:tc>
      </w:tr>
    </w:tbl>
    <w:p w:rsidR="00710DA3" w:rsidRPr="00710DA3" w:rsidRDefault="00710DA3" w:rsidP="00710D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710DA3" w:rsidRPr="00710DA3" w:rsidTr="00710DA3">
        <w:trPr>
          <w:trHeight w:val="571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</w:rPr>
              <w:t>Перечень отраслевых направлений, в р</w:t>
            </w:r>
            <w:r w:rsidR="00617FF3">
              <w:rPr>
                <w:rFonts w:ascii="Times New Roman" w:eastAsia="Calibri" w:hAnsi="Times New Roman" w:cs="Times New Roman"/>
                <w:b/>
              </w:rPr>
              <w:t>амках которых не осуществляется</w:t>
            </w:r>
            <w:r w:rsidRPr="00710DA3">
              <w:rPr>
                <w:rFonts w:ascii="Times New Roman" w:eastAsia="Calibri" w:hAnsi="Times New Roman" w:cs="Times New Roman"/>
                <w:b/>
              </w:rPr>
              <w:t xml:space="preserve"> финансовая поддержка Фондом развития промышленности на реализацию инвестиционных проектов</w:t>
            </w:r>
            <w:r w:rsidRPr="00710DA3">
              <w:rPr>
                <w:rFonts w:ascii="Times New Roman" w:eastAsia="MS Gothic" w:hAnsi="Times New Roman" w:cs="Times New Roman"/>
                <w:i/>
                <w:color w:val="000000"/>
                <w:vertAlign w:val="superscript"/>
              </w:rPr>
              <w:footnoteReference w:id="7"/>
            </w:r>
          </w:p>
        </w:tc>
      </w:tr>
      <w:tr w:rsidR="00710DA3" w:rsidRPr="00710DA3" w:rsidTr="00710DA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Раздел C "Обрабатывающие производства"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 класса ОКВЭД.код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пищевых продуктов (за исключением промышленных биотехнологий)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напитков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10DA3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табачных изделий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Деятельность полиграфическая и копирование носителей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кокса и нефтепродуктов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24.46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ядерного топлива</w:t>
            </w:r>
          </w:p>
        </w:tc>
      </w:tr>
      <w:tr w:rsidR="00710DA3" w:rsidRPr="00710DA3" w:rsidTr="00710DA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Раздел B "Добыча полезных ископаемых"</w:t>
            </w:r>
          </w:p>
        </w:tc>
      </w:tr>
      <w:tr w:rsidR="00710DA3" w:rsidRPr="00710DA3" w:rsidTr="00710DA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710DA3" w:rsidRPr="00710DA3" w:rsidTr="00710DA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:rsidR="005225C2" w:rsidRDefault="005225C2"/>
    <w:sectPr w:rsidR="0052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60" w:rsidRDefault="00216160" w:rsidP="00800C70">
      <w:pPr>
        <w:spacing w:after="0" w:line="240" w:lineRule="auto"/>
      </w:pPr>
      <w:r>
        <w:separator/>
      </w:r>
    </w:p>
  </w:endnote>
  <w:endnote w:type="continuationSeparator" w:id="0">
    <w:p w:rsidR="00216160" w:rsidRDefault="00216160" w:rsidP="0080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60" w:rsidRDefault="00216160" w:rsidP="00800C70">
      <w:pPr>
        <w:spacing w:after="0" w:line="240" w:lineRule="auto"/>
      </w:pPr>
      <w:r>
        <w:separator/>
      </w:r>
    </w:p>
  </w:footnote>
  <w:footnote w:type="continuationSeparator" w:id="0">
    <w:p w:rsidR="00216160" w:rsidRDefault="00216160" w:rsidP="00800C70">
      <w:pPr>
        <w:spacing w:after="0" w:line="240" w:lineRule="auto"/>
      </w:pPr>
      <w:r>
        <w:continuationSeparator/>
      </w:r>
    </w:p>
  </w:footnote>
  <w:footnote w:id="1">
    <w:p w:rsidR="00710DA3" w:rsidRPr="00C617E0" w:rsidRDefault="00710DA3" w:rsidP="00800C7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617E0">
        <w:rPr>
          <w:rStyle w:val="a8"/>
          <w:rFonts w:ascii="Times New Roman" w:hAnsi="Times New Roman"/>
        </w:rPr>
        <w:footnoteRef/>
      </w:r>
      <w:r w:rsidRPr="00C617E0">
        <w:rPr>
          <w:rFonts w:ascii="Times New Roman" w:hAnsi="Times New Roman" w:cs="Times New Roman"/>
        </w:rPr>
        <w:t xml:space="preserve">  </w:t>
      </w:r>
      <w:r w:rsidRPr="00C617E0">
        <w:rPr>
          <w:rFonts w:ascii="Times New Roman" w:hAnsi="Times New Roman" w:cs="Times New Roman"/>
          <w:sz w:val="18"/>
          <w:szCs w:val="18"/>
        </w:rPr>
        <w:t>Указание Банка России от 28.01.2016 № 3949-У "Об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 для непроведения организациями, осуществляющими операции с денежными средствами или иным имуществом, идентификации бенефициарных владельцев иностранных организаций, чьи ценные бумаги прошли процедуру листинга на таких биржах" (или иные аналогичные указания).</w:t>
      </w:r>
    </w:p>
  </w:footnote>
  <w:footnote w:id="2">
    <w:p w:rsidR="00710DA3" w:rsidRPr="008C0999" w:rsidRDefault="00710DA3" w:rsidP="00800C70">
      <w:pPr>
        <w:pStyle w:val="16"/>
        <w:ind w:firstLine="567"/>
        <w:rPr>
          <w:sz w:val="22"/>
          <w:szCs w:val="22"/>
        </w:rPr>
      </w:pPr>
      <w:r w:rsidRPr="00C617E0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C617E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617E0">
        <w:rPr>
          <w:rFonts w:ascii="Times New Roman" w:hAnsi="Times New Roman" w:cs="Times New Roman"/>
          <w:sz w:val="22"/>
          <w:szCs w:val="22"/>
        </w:rPr>
        <w:t xml:space="preserve"> </w:t>
      </w:r>
      <w:r w:rsidRPr="00C617E0">
        <w:rPr>
          <w:rFonts w:ascii="Times New Roman" w:hAnsi="Times New Roman" w:cs="Times New Roman"/>
          <w:sz w:val="18"/>
          <w:szCs w:val="18"/>
        </w:rPr>
        <w:t>Письмо Минфина России от 9 апреля 2014 г. № 03-00-РЗ/16236 (и иные аналогичные разъяснения).</w:t>
      </w:r>
    </w:p>
  </w:footnote>
  <w:footnote w:id="3">
    <w:p w:rsidR="00710DA3" w:rsidRPr="00C617E0" w:rsidRDefault="00710DA3" w:rsidP="00800C70">
      <w:pPr>
        <w:pStyle w:val="16"/>
        <w:ind w:firstLine="567"/>
        <w:rPr>
          <w:rFonts w:ascii="Times New Roman" w:hAnsi="Times New Roman" w:cs="Times New Roman"/>
        </w:rPr>
      </w:pPr>
      <w:r w:rsidRPr="00C617E0">
        <w:rPr>
          <w:rStyle w:val="a8"/>
          <w:rFonts w:ascii="Times New Roman" w:hAnsi="Times New Roman"/>
        </w:rPr>
        <w:footnoteRef/>
      </w:r>
      <w:r w:rsidRPr="00C617E0">
        <w:rPr>
          <w:rFonts w:ascii="Times New Roman" w:hAnsi="Times New Roman" w:cs="Times New Roman"/>
        </w:rPr>
        <w:t xml:space="preserve">  </w:t>
      </w:r>
      <w:r w:rsidRPr="00C617E0">
        <w:rPr>
          <w:rFonts w:ascii="Times New Roman" w:hAnsi="Times New Roman" w:cs="Times New Roman"/>
          <w:sz w:val="18"/>
          <w:szCs w:val="18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4">
    <w:p w:rsidR="00710DA3" w:rsidRPr="00EE113B" w:rsidRDefault="00710DA3" w:rsidP="00800C70">
      <w:pPr>
        <w:pStyle w:val="16"/>
        <w:ind w:firstLine="709"/>
        <w:rPr>
          <w:rFonts w:ascii="Times New Roman" w:hAnsi="Times New Roman" w:cs="Times New Roman"/>
        </w:rPr>
      </w:pPr>
      <w:r w:rsidRPr="00E54A51">
        <w:rPr>
          <w:rStyle w:val="a8"/>
          <w:sz w:val="22"/>
          <w:szCs w:val="22"/>
        </w:rPr>
        <w:footnoteRef/>
      </w:r>
      <w:r w:rsidRPr="00E54A51">
        <w:rPr>
          <w:rStyle w:val="a8"/>
          <w:sz w:val="22"/>
          <w:szCs w:val="22"/>
        </w:rPr>
        <w:t xml:space="preserve"> </w:t>
      </w:r>
      <w:r w:rsidRPr="00EE113B">
        <w:rPr>
          <w:rFonts w:ascii="Times New Roman" w:hAnsi="Times New Roman" w:cs="Times New Roman"/>
          <w:sz w:val="18"/>
          <w:szCs w:val="18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5">
    <w:p w:rsidR="00710DA3" w:rsidRPr="00BB702D" w:rsidRDefault="00710DA3" w:rsidP="00800C70">
      <w:pPr>
        <w:pStyle w:val="16"/>
        <w:ind w:firstLine="709"/>
        <w:rPr>
          <w:rStyle w:val="a8"/>
          <w:rFonts w:ascii="Arial" w:hAnsi="Arial" w:cs="Arial"/>
        </w:rPr>
      </w:pPr>
      <w:r w:rsidRPr="00EE113B">
        <w:rPr>
          <w:rStyle w:val="a8"/>
          <w:rFonts w:ascii="Times New Roman" w:hAnsi="Times New Roman"/>
        </w:rPr>
        <w:footnoteRef/>
      </w:r>
      <w:r w:rsidRPr="00EE113B">
        <w:rPr>
          <w:rFonts w:ascii="Times New Roman" w:hAnsi="Times New Roman" w:cs="Times New Roman"/>
        </w:rPr>
        <w:t xml:space="preserve"> </w:t>
      </w:r>
      <w:r w:rsidRPr="00EE113B">
        <w:rPr>
          <w:rFonts w:ascii="Times New Roman" w:hAnsi="Times New Roman" w:cs="Times New Roman"/>
          <w:sz w:val="18"/>
          <w:szCs w:val="18"/>
        </w:rPr>
        <w:t>Определяется в соответствии с ч.1 ст. 67.3 Гражданского кодекса Российской Федерации</w:t>
      </w:r>
      <w:r w:rsidRPr="00D13F77">
        <w:rPr>
          <w:rFonts w:ascii="Arial" w:hAnsi="Arial" w:cs="Arial"/>
          <w:sz w:val="18"/>
          <w:szCs w:val="18"/>
        </w:rPr>
        <w:t>.</w:t>
      </w:r>
    </w:p>
  </w:footnote>
  <w:footnote w:id="6">
    <w:p w:rsidR="00710DA3" w:rsidRPr="00EE5540" w:rsidRDefault="00710DA3" w:rsidP="00800C70">
      <w:pPr>
        <w:pStyle w:val="16"/>
        <w:ind w:firstLine="709"/>
        <w:rPr>
          <w:rStyle w:val="a8"/>
          <w:rFonts w:ascii="Times New Roman" w:hAnsi="Times New Roman"/>
        </w:rPr>
      </w:pPr>
      <w:r w:rsidRPr="00EE5540">
        <w:rPr>
          <w:rStyle w:val="a8"/>
          <w:rFonts w:ascii="Times New Roman" w:hAnsi="Times New Roman"/>
        </w:rPr>
        <w:footnoteRef/>
      </w:r>
      <w:r w:rsidRPr="00EE5540">
        <w:rPr>
          <w:rFonts w:ascii="Times New Roman" w:hAnsi="Times New Roman" w:cs="Times New Roman"/>
        </w:rPr>
        <w:t xml:space="preserve"> </w:t>
      </w:r>
      <w:r w:rsidRPr="00C85155">
        <w:rPr>
          <w:rFonts w:ascii="Times New Roman" w:hAnsi="Times New Roman" w:cs="Times New Roman"/>
          <w:sz w:val="18"/>
          <w:szCs w:val="18"/>
        </w:rPr>
        <w:t>Определяется в соответствии с законодательством о валютном регулировании и валютном контроле.</w:t>
      </w:r>
    </w:p>
  </w:footnote>
  <w:footnote w:id="7">
    <w:p w:rsidR="00710DA3" w:rsidRPr="00D915AE" w:rsidRDefault="00710DA3" w:rsidP="00710DA3">
      <w:pPr>
        <w:pStyle w:val="a6"/>
        <w:rPr>
          <w:rFonts w:ascii="Times New Roman" w:eastAsia="Times New Roman" w:hAnsi="Times New Roman" w:cs="Times New Roman"/>
        </w:rPr>
      </w:pPr>
      <w:r w:rsidRPr="00710DA3">
        <w:rPr>
          <w:rStyle w:val="a8"/>
          <w:rFonts w:ascii="Times New Roman" w:eastAsia="MS Gothic" w:hAnsi="Times New Roman"/>
        </w:rPr>
        <w:footnoteRef/>
      </w:r>
      <w:r w:rsidRPr="00D915AE">
        <w:rPr>
          <w:rFonts w:ascii="Times New Roman" w:hAnsi="Times New Roman" w:cs="Times New Roman"/>
        </w:rPr>
        <w:t xml:space="preserve"> </w:t>
      </w:r>
      <w:r w:rsidRPr="00D915AE">
        <w:rPr>
          <w:rFonts w:ascii="Times New Roman" w:hAnsi="Times New Roman" w:cs="Times New Roman"/>
          <w:sz w:val="18"/>
          <w:szCs w:val="18"/>
        </w:rPr>
        <w:t>Из отнесенных к промышленной деятельности в соответствии со статьей 3 Федерального закона Российской Федерации от 31.12.2014 № 488-ФЗ "О промышленной политике в Российской Федерации".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895"/>
    <w:multiLevelType w:val="hybridMultilevel"/>
    <w:tmpl w:val="0CFC5AE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47D5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757CE"/>
    <w:multiLevelType w:val="multilevel"/>
    <w:tmpl w:val="A3321D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186C0C"/>
    <w:multiLevelType w:val="multilevel"/>
    <w:tmpl w:val="CACA2D7C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4A5B87"/>
    <w:multiLevelType w:val="hybridMultilevel"/>
    <w:tmpl w:val="4D5894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9E3419"/>
    <w:multiLevelType w:val="hybridMultilevel"/>
    <w:tmpl w:val="9F365274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993AFA"/>
    <w:multiLevelType w:val="hybridMultilevel"/>
    <w:tmpl w:val="992CAF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4A685C"/>
    <w:multiLevelType w:val="multilevel"/>
    <w:tmpl w:val="999C6A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65A3914"/>
    <w:multiLevelType w:val="hybridMultilevel"/>
    <w:tmpl w:val="19809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F00010"/>
    <w:multiLevelType w:val="hybridMultilevel"/>
    <w:tmpl w:val="F93AC7B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D7248FA"/>
    <w:multiLevelType w:val="multilevel"/>
    <w:tmpl w:val="D5CC745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C07FBA"/>
    <w:multiLevelType w:val="hybridMultilevel"/>
    <w:tmpl w:val="A788A570"/>
    <w:lvl w:ilvl="0" w:tplc="42AE9746">
      <w:start w:val="1"/>
      <w:numFmt w:val="decimal"/>
      <w:pStyle w:val="2"/>
      <w:lvlText w:val="Приложение № %1."/>
      <w:lvlJc w:val="left"/>
      <w:pPr>
        <w:tabs>
          <w:tab w:val="num" w:pos="3261"/>
        </w:tabs>
        <w:ind w:left="3261" w:hanging="2268"/>
      </w:pPr>
      <w:rPr>
        <w:rFonts w:ascii="Times New Roman" w:hAnsi="Times New Roman" w:hint="default"/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1EE032E1"/>
    <w:multiLevelType w:val="hybridMultilevel"/>
    <w:tmpl w:val="1F427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20AC1A87"/>
    <w:multiLevelType w:val="multilevel"/>
    <w:tmpl w:val="452AC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29D07EB"/>
    <w:multiLevelType w:val="multilevel"/>
    <w:tmpl w:val="FEF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6170F4"/>
    <w:multiLevelType w:val="multilevel"/>
    <w:tmpl w:val="07DE30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42B45F2"/>
    <w:multiLevelType w:val="multilevel"/>
    <w:tmpl w:val="3F480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5891FEA"/>
    <w:multiLevelType w:val="multilevel"/>
    <w:tmpl w:val="1A129A8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2ABF209C"/>
    <w:multiLevelType w:val="multilevel"/>
    <w:tmpl w:val="7A4E69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2DB5335B"/>
    <w:multiLevelType w:val="hybridMultilevel"/>
    <w:tmpl w:val="BC8CF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3B6083"/>
    <w:multiLevelType w:val="hybridMultilevel"/>
    <w:tmpl w:val="78FA9C56"/>
    <w:lvl w:ilvl="0" w:tplc="04190019">
      <w:start w:val="1"/>
      <w:numFmt w:val="lowerLetter"/>
      <w:lvlText w:val="%1.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 w15:restartNumberingAfterBreak="0">
    <w:nsid w:val="32826DE0"/>
    <w:multiLevelType w:val="hybridMultilevel"/>
    <w:tmpl w:val="76E48556"/>
    <w:lvl w:ilvl="0" w:tplc="72AA4C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282F61"/>
    <w:multiLevelType w:val="hybridMultilevel"/>
    <w:tmpl w:val="D5DCDFA8"/>
    <w:lvl w:ilvl="0" w:tplc="61A45E0C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4" w15:restartNumberingAfterBreak="0">
    <w:nsid w:val="363301F7"/>
    <w:multiLevelType w:val="multilevel"/>
    <w:tmpl w:val="FBC8DA2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78C2BF6"/>
    <w:multiLevelType w:val="multilevel"/>
    <w:tmpl w:val="9068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401A42"/>
    <w:multiLevelType w:val="hybridMultilevel"/>
    <w:tmpl w:val="09AA40A4"/>
    <w:lvl w:ilvl="0" w:tplc="04190019">
      <w:start w:val="1"/>
      <w:numFmt w:val="lowerLetter"/>
      <w:lvlText w:val="%1.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3B7D67A4"/>
    <w:multiLevelType w:val="hybridMultilevel"/>
    <w:tmpl w:val="B6C63EF6"/>
    <w:lvl w:ilvl="0" w:tplc="5B7897BA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28" w15:restartNumberingAfterBreak="0">
    <w:nsid w:val="3B811457"/>
    <w:multiLevelType w:val="hybridMultilevel"/>
    <w:tmpl w:val="F38AB3C6"/>
    <w:lvl w:ilvl="0" w:tplc="04190019">
      <w:start w:val="1"/>
      <w:numFmt w:val="lowerLetter"/>
      <w:lvlText w:val="%1."/>
      <w:lvlJc w:val="left"/>
      <w:pPr>
        <w:ind w:left="22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418C6BB9"/>
    <w:multiLevelType w:val="multilevel"/>
    <w:tmpl w:val="EA8821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495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30" w15:restartNumberingAfterBreak="0">
    <w:nsid w:val="45021FE4"/>
    <w:multiLevelType w:val="multilevel"/>
    <w:tmpl w:val="452AC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4BFA6C31"/>
    <w:multiLevelType w:val="multilevel"/>
    <w:tmpl w:val="D604DD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2E13DAE"/>
    <w:multiLevelType w:val="hybridMultilevel"/>
    <w:tmpl w:val="FE1E6004"/>
    <w:lvl w:ilvl="0" w:tplc="875080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396008"/>
    <w:multiLevelType w:val="hybridMultilevel"/>
    <w:tmpl w:val="73529616"/>
    <w:lvl w:ilvl="0" w:tplc="0419000F">
      <w:start w:val="1"/>
      <w:numFmt w:val="decimal"/>
      <w:pStyle w:val="2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B74D5"/>
    <w:multiLevelType w:val="hybridMultilevel"/>
    <w:tmpl w:val="AA0E60A2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8394974"/>
    <w:multiLevelType w:val="multilevel"/>
    <w:tmpl w:val="590EE4A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A5F3747"/>
    <w:multiLevelType w:val="hybridMultilevel"/>
    <w:tmpl w:val="44C48DA2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5B865D57"/>
    <w:multiLevelType w:val="hybridMultilevel"/>
    <w:tmpl w:val="49B64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3641EF"/>
    <w:multiLevelType w:val="multilevel"/>
    <w:tmpl w:val="590EE4A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48214FA"/>
    <w:multiLevelType w:val="multilevel"/>
    <w:tmpl w:val="83749A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52C2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324D13"/>
    <w:multiLevelType w:val="multilevel"/>
    <w:tmpl w:val="02A25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95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42" w15:restartNumberingAfterBreak="0">
    <w:nsid w:val="69CB5800"/>
    <w:multiLevelType w:val="multilevel"/>
    <w:tmpl w:val="7046A34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25B5EE7"/>
    <w:multiLevelType w:val="multilevel"/>
    <w:tmpl w:val="02A25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346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44" w15:restartNumberingAfterBreak="0">
    <w:nsid w:val="7E1122C2"/>
    <w:multiLevelType w:val="multilevel"/>
    <w:tmpl w:val="336CFFE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9"/>
  </w:num>
  <w:num w:numId="4">
    <w:abstractNumId w:val="14"/>
  </w:num>
  <w:num w:numId="5">
    <w:abstractNumId w:val="39"/>
  </w:num>
  <w:num w:numId="6">
    <w:abstractNumId w:val="36"/>
  </w:num>
  <w:num w:numId="7">
    <w:abstractNumId w:val="17"/>
  </w:num>
  <w:num w:numId="8">
    <w:abstractNumId w:val="30"/>
  </w:num>
  <w:num w:numId="9">
    <w:abstractNumId w:val="18"/>
  </w:num>
  <w:num w:numId="10">
    <w:abstractNumId w:val="7"/>
  </w:num>
  <w:num w:numId="11">
    <w:abstractNumId w:val="19"/>
  </w:num>
  <w:num w:numId="12">
    <w:abstractNumId w:val="24"/>
  </w:num>
  <w:num w:numId="13">
    <w:abstractNumId w:val="23"/>
  </w:num>
  <w:num w:numId="14">
    <w:abstractNumId w:val="0"/>
  </w:num>
  <w:num w:numId="15">
    <w:abstractNumId w:val="20"/>
  </w:num>
  <w:num w:numId="16">
    <w:abstractNumId w:val="42"/>
  </w:num>
  <w:num w:numId="17">
    <w:abstractNumId w:val="12"/>
  </w:num>
  <w:num w:numId="18">
    <w:abstractNumId w:val="44"/>
  </w:num>
  <w:num w:numId="19">
    <w:abstractNumId w:val="38"/>
  </w:num>
  <w:num w:numId="20">
    <w:abstractNumId w:val="2"/>
  </w:num>
  <w:num w:numId="21">
    <w:abstractNumId w:val="27"/>
  </w:num>
  <w:num w:numId="22">
    <w:abstractNumId w:val="32"/>
  </w:num>
  <w:num w:numId="23">
    <w:abstractNumId w:val="35"/>
  </w:num>
  <w:num w:numId="24">
    <w:abstractNumId w:val="34"/>
  </w:num>
  <w:num w:numId="25">
    <w:abstractNumId w:val="5"/>
  </w:num>
  <w:num w:numId="26">
    <w:abstractNumId w:val="21"/>
  </w:num>
  <w:num w:numId="27">
    <w:abstractNumId w:val="26"/>
  </w:num>
  <w:num w:numId="28">
    <w:abstractNumId w:val="13"/>
  </w:num>
  <w:num w:numId="29">
    <w:abstractNumId w:val="28"/>
  </w:num>
  <w:num w:numId="30">
    <w:abstractNumId w:val="37"/>
  </w:num>
  <w:num w:numId="31">
    <w:abstractNumId w:val="25"/>
  </w:num>
  <w:num w:numId="32">
    <w:abstractNumId w:val="43"/>
  </w:num>
  <w:num w:numId="33">
    <w:abstractNumId w:val="29"/>
  </w:num>
  <w:num w:numId="34">
    <w:abstractNumId w:val="22"/>
  </w:num>
  <w:num w:numId="35">
    <w:abstractNumId w:val="41"/>
  </w:num>
  <w:num w:numId="36">
    <w:abstractNumId w:val="6"/>
  </w:num>
  <w:num w:numId="37">
    <w:abstractNumId w:val="3"/>
  </w:num>
  <w:num w:numId="38">
    <w:abstractNumId w:val="8"/>
  </w:num>
  <w:num w:numId="39">
    <w:abstractNumId w:val="40"/>
  </w:num>
  <w:num w:numId="40">
    <w:abstractNumId w:val="1"/>
  </w:num>
  <w:num w:numId="41">
    <w:abstractNumId w:val="16"/>
  </w:num>
  <w:num w:numId="42">
    <w:abstractNumId w:val="31"/>
  </w:num>
  <w:num w:numId="43">
    <w:abstractNumId w:val="10"/>
  </w:num>
  <w:num w:numId="44">
    <w:abstractNumId w:val="1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70"/>
    <w:rsid w:val="00173495"/>
    <w:rsid w:val="00216160"/>
    <w:rsid w:val="003828B3"/>
    <w:rsid w:val="003B5323"/>
    <w:rsid w:val="00503589"/>
    <w:rsid w:val="005225C2"/>
    <w:rsid w:val="00550F88"/>
    <w:rsid w:val="005F6C85"/>
    <w:rsid w:val="00617FF3"/>
    <w:rsid w:val="006643C5"/>
    <w:rsid w:val="00710DA3"/>
    <w:rsid w:val="00800482"/>
    <w:rsid w:val="00800C70"/>
    <w:rsid w:val="00893C67"/>
    <w:rsid w:val="009E1051"/>
    <w:rsid w:val="00A37A74"/>
    <w:rsid w:val="00C85155"/>
    <w:rsid w:val="00F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C0A75-9A66-4FFC-9428-F5F2C432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21"/>
    <w:link w:val="10"/>
    <w:qFormat/>
    <w:rsid w:val="00800C70"/>
    <w:pPr>
      <w:keepNext/>
      <w:keepLines/>
      <w:widowControl w:val="0"/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1">
    <w:name w:val="heading 2"/>
    <w:basedOn w:val="a"/>
    <w:link w:val="22"/>
    <w:qFormat/>
    <w:rsid w:val="00800C70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C70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800C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0C70"/>
  </w:style>
  <w:style w:type="table" w:customStyle="1" w:styleId="12">
    <w:name w:val="Сетка таблицы1"/>
    <w:basedOn w:val="a1"/>
    <w:next w:val="a3"/>
    <w:uiPriority w:val="59"/>
    <w:rsid w:val="00800C7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4"/>
    <w:qFormat/>
    <w:rsid w:val="00800C70"/>
    <w:pPr>
      <w:spacing w:after="0" w:line="240" w:lineRule="auto"/>
      <w:ind w:left="720"/>
      <w:contextualSpacing/>
      <w:jc w:val="both"/>
    </w:pPr>
  </w:style>
  <w:style w:type="paragraph" w:styleId="a5">
    <w:name w:val="Normal (Web)"/>
    <w:basedOn w:val="a"/>
    <w:uiPriority w:val="99"/>
    <w:rsid w:val="00800C7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0C7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Текст 1"/>
    <w:basedOn w:val="21"/>
    <w:link w:val="15"/>
    <w:rsid w:val="00800C70"/>
    <w:pPr>
      <w:spacing w:after="60"/>
    </w:pPr>
    <w:rPr>
      <w:b w:val="0"/>
      <w:szCs w:val="22"/>
    </w:rPr>
  </w:style>
  <w:style w:type="paragraph" w:styleId="31">
    <w:name w:val="List 3"/>
    <w:basedOn w:val="23"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0" w:firstLine="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Текст 1 Знак"/>
    <w:link w:val="14"/>
    <w:rsid w:val="00800C7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10">
    <w:name w:val="Список 21"/>
    <w:basedOn w:val="a"/>
    <w:next w:val="23"/>
    <w:uiPriority w:val="99"/>
    <w:semiHidden/>
    <w:unhideWhenUsed/>
    <w:rsid w:val="00800C70"/>
    <w:pPr>
      <w:spacing w:after="0" w:line="240" w:lineRule="auto"/>
      <w:ind w:left="566" w:hanging="283"/>
      <w:contextualSpacing/>
      <w:jc w:val="both"/>
    </w:pPr>
  </w:style>
  <w:style w:type="paragraph" w:customStyle="1" w:styleId="16">
    <w:name w:val="Текст сноски1"/>
    <w:basedOn w:val="a"/>
    <w:next w:val="a6"/>
    <w:link w:val="a7"/>
    <w:semiHidden/>
    <w:unhideWhenUsed/>
    <w:rsid w:val="00800C70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6"/>
    <w:semiHidden/>
    <w:rsid w:val="00800C70"/>
    <w:rPr>
      <w:sz w:val="20"/>
      <w:szCs w:val="20"/>
    </w:rPr>
  </w:style>
  <w:style w:type="character" w:styleId="a8">
    <w:name w:val="footnote reference"/>
    <w:basedOn w:val="a0"/>
    <w:semiHidden/>
    <w:rsid w:val="00800C70"/>
    <w:rPr>
      <w:rFonts w:cs="Times New Roman"/>
      <w:sz w:val="20"/>
      <w:vertAlign w:val="superscript"/>
    </w:rPr>
  </w:style>
  <w:style w:type="paragraph" w:customStyle="1" w:styleId="17">
    <w:name w:val="Текст выноски1"/>
    <w:basedOn w:val="a"/>
    <w:next w:val="a9"/>
    <w:link w:val="aa"/>
    <w:uiPriority w:val="99"/>
    <w:semiHidden/>
    <w:unhideWhenUsed/>
    <w:rsid w:val="00800C7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7"/>
    <w:uiPriority w:val="99"/>
    <w:semiHidden/>
    <w:rsid w:val="00800C70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next w:val="ab"/>
    <w:link w:val="ac"/>
    <w:uiPriority w:val="99"/>
    <w:unhideWhenUsed/>
    <w:rsid w:val="00800C7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c">
    <w:name w:val="Верхний колонтитул Знак"/>
    <w:basedOn w:val="a0"/>
    <w:link w:val="18"/>
    <w:uiPriority w:val="99"/>
    <w:rsid w:val="00800C70"/>
  </w:style>
  <w:style w:type="paragraph" w:customStyle="1" w:styleId="19">
    <w:name w:val="Нижний колонтитул1"/>
    <w:basedOn w:val="a"/>
    <w:next w:val="ad"/>
    <w:link w:val="ae"/>
    <w:uiPriority w:val="99"/>
    <w:unhideWhenUsed/>
    <w:rsid w:val="00800C7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e">
    <w:name w:val="Нижний колонтитул Знак"/>
    <w:basedOn w:val="a0"/>
    <w:link w:val="19"/>
    <w:uiPriority w:val="99"/>
    <w:rsid w:val="00800C70"/>
  </w:style>
  <w:style w:type="paragraph" w:customStyle="1" w:styleId="32">
    <w:name w:val="Титульный лист 3"/>
    <w:basedOn w:val="a"/>
    <w:rsid w:val="00800C7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Текст 2"/>
    <w:basedOn w:val="3"/>
    <w:rsid w:val="00800C70"/>
    <w:pPr>
      <w:numPr>
        <w:ilvl w:val="2"/>
        <w:numId w:val="1"/>
      </w:numPr>
      <w:ind w:left="993" w:hanging="567"/>
      <w:textAlignment w:val="auto"/>
    </w:pPr>
  </w:style>
  <w:style w:type="paragraph" w:customStyle="1" w:styleId="af">
    <w:name w:val="заголовок (ПОдразделыазделы)"/>
    <w:basedOn w:val="a"/>
    <w:next w:val="a"/>
    <w:autoRedefine/>
    <w:rsid w:val="00800C70"/>
    <w:pPr>
      <w:tabs>
        <w:tab w:val="left" w:pos="34"/>
      </w:tabs>
      <w:spacing w:after="0" w:line="240" w:lineRule="auto"/>
      <w:ind w:left="34" w:firstLine="361"/>
      <w:jc w:val="both"/>
    </w:pPr>
    <w:rPr>
      <w:rFonts w:eastAsia="Times New Roman" w:cs="Calibri"/>
      <w:bCs/>
      <w:sz w:val="20"/>
      <w:szCs w:val="20"/>
      <w:lang w:eastAsia="ru-RU"/>
    </w:rPr>
  </w:style>
  <w:style w:type="paragraph" w:styleId="2">
    <w:name w:val="toc 2"/>
    <w:basedOn w:val="a"/>
    <w:next w:val="a"/>
    <w:uiPriority w:val="39"/>
    <w:qFormat/>
    <w:rsid w:val="00800C70"/>
    <w:pPr>
      <w:widowControl w:val="0"/>
      <w:numPr>
        <w:numId w:val="2"/>
      </w:numPr>
      <w:tabs>
        <w:tab w:val="right" w:leader="dot" w:pos="9639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a">
    <w:name w:val="Список 1"/>
    <w:basedOn w:val="af0"/>
    <w:rsid w:val="00800C70"/>
    <w:pPr>
      <w:widowControl w:val="0"/>
      <w:tabs>
        <w:tab w:val="num" w:pos="851"/>
        <w:tab w:val="num" w:pos="1532"/>
      </w:tabs>
      <w:overflowPunct w:val="0"/>
      <w:autoSpaceDE w:val="0"/>
      <w:autoSpaceDN w:val="0"/>
      <w:adjustRightInd w:val="0"/>
      <w:spacing w:before="60" w:after="0" w:line="240" w:lineRule="auto"/>
      <w:ind w:left="851" w:hanging="425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Маркированный список1"/>
    <w:basedOn w:val="a"/>
    <w:next w:val="af0"/>
    <w:uiPriority w:val="99"/>
    <w:semiHidden/>
    <w:unhideWhenUsed/>
    <w:rsid w:val="00800C70"/>
    <w:pPr>
      <w:tabs>
        <w:tab w:val="num" w:pos="1532"/>
      </w:tabs>
      <w:spacing w:after="0" w:line="240" w:lineRule="auto"/>
      <w:ind w:left="1532" w:hanging="397"/>
      <w:contextualSpacing/>
      <w:jc w:val="both"/>
    </w:pPr>
  </w:style>
  <w:style w:type="paragraph" w:styleId="af1">
    <w:name w:val="Body Text Indent"/>
    <w:basedOn w:val="a"/>
    <w:link w:val="af2"/>
    <w:rsid w:val="00800C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00C7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800C70"/>
    <w:pPr>
      <w:tabs>
        <w:tab w:val="left" w:pos="86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0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800C70"/>
    <w:rPr>
      <w:color w:val="0000FF"/>
      <w:u w:val="single"/>
    </w:rPr>
  </w:style>
  <w:style w:type="character" w:styleId="af4">
    <w:name w:val="Strong"/>
    <w:basedOn w:val="a0"/>
    <w:uiPriority w:val="22"/>
    <w:qFormat/>
    <w:rsid w:val="00800C70"/>
    <w:rPr>
      <w:b/>
      <w:bCs/>
    </w:rPr>
  </w:style>
  <w:style w:type="character" w:customStyle="1" w:styleId="apple-converted-space">
    <w:name w:val="apple-converted-space"/>
    <w:basedOn w:val="a0"/>
    <w:rsid w:val="00800C70"/>
  </w:style>
  <w:style w:type="paragraph" w:customStyle="1" w:styleId="formattext">
    <w:name w:val="formattext"/>
    <w:basedOn w:val="a"/>
    <w:rsid w:val="00800C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00C70"/>
    <w:rPr>
      <w:sz w:val="16"/>
      <w:szCs w:val="16"/>
    </w:rPr>
  </w:style>
  <w:style w:type="paragraph" w:customStyle="1" w:styleId="1c">
    <w:name w:val="Текст примечания1"/>
    <w:basedOn w:val="a"/>
    <w:next w:val="af6"/>
    <w:link w:val="af7"/>
    <w:uiPriority w:val="99"/>
    <w:unhideWhenUsed/>
    <w:rsid w:val="00800C70"/>
    <w:pPr>
      <w:spacing w:after="0" w:line="240" w:lineRule="auto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1c"/>
    <w:uiPriority w:val="99"/>
    <w:rsid w:val="00800C70"/>
    <w:rPr>
      <w:sz w:val="20"/>
      <w:szCs w:val="20"/>
    </w:rPr>
  </w:style>
  <w:style w:type="paragraph" w:customStyle="1" w:styleId="1d">
    <w:name w:val="Тема примечания1"/>
    <w:basedOn w:val="af6"/>
    <w:next w:val="af6"/>
    <w:uiPriority w:val="99"/>
    <w:semiHidden/>
    <w:unhideWhenUsed/>
    <w:rsid w:val="00800C70"/>
    <w:pPr>
      <w:spacing w:after="0"/>
      <w:jc w:val="both"/>
    </w:pPr>
    <w:rPr>
      <w:b/>
      <w:bCs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800C70"/>
    <w:rPr>
      <w:b/>
      <w:bCs/>
      <w:sz w:val="20"/>
      <w:szCs w:val="20"/>
    </w:rPr>
  </w:style>
  <w:style w:type="paragraph" w:customStyle="1" w:styleId="1e">
    <w:name w:val="Стиль1"/>
    <w:basedOn w:val="21"/>
    <w:link w:val="1f"/>
    <w:qFormat/>
    <w:rsid w:val="00800C70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f">
    <w:name w:val="Стиль1 Знак"/>
    <w:basedOn w:val="22"/>
    <w:link w:val="1e"/>
    <w:rsid w:val="00800C70"/>
    <w:rPr>
      <w:rFonts w:ascii="Times New Roman" w:eastAsia="Calibri" w:hAnsi="Times New Roman" w:cs="Times New Roman"/>
      <w:b w:val="0"/>
      <w:sz w:val="24"/>
      <w:szCs w:val="24"/>
      <w:lang w:eastAsia="ru-RU"/>
    </w:rPr>
  </w:style>
  <w:style w:type="paragraph" w:customStyle="1" w:styleId="1f0">
    <w:name w:val="Заголовок оглавления1"/>
    <w:basedOn w:val="1"/>
    <w:next w:val="a"/>
    <w:uiPriority w:val="39"/>
    <w:semiHidden/>
    <w:unhideWhenUsed/>
    <w:qFormat/>
    <w:rsid w:val="00800C70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800C70"/>
    <w:pPr>
      <w:widowControl w:val="0"/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after="0" w:line="360" w:lineRule="auto"/>
      <w:ind w:left="426" w:hanging="426"/>
      <w:textAlignment w:val="baseline"/>
    </w:p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qFormat/>
    <w:rsid w:val="00800C70"/>
    <w:pPr>
      <w:spacing w:after="100" w:line="240" w:lineRule="auto"/>
      <w:ind w:left="440"/>
      <w:jc w:val="both"/>
    </w:pPr>
    <w:rPr>
      <w:rFonts w:eastAsia="MS Mincho"/>
      <w:lang w:eastAsia="ru-RU"/>
    </w:rPr>
  </w:style>
  <w:style w:type="paragraph" w:customStyle="1" w:styleId="ConsPlusNormal">
    <w:name w:val="ConsPlusNormal"/>
    <w:rsid w:val="00800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a">
    <w:name w:val="ОБычный"/>
    <w:basedOn w:val="a"/>
    <w:link w:val="afb"/>
    <w:qFormat/>
    <w:rsid w:val="00800C70"/>
    <w:pPr>
      <w:widowControl w:val="0"/>
      <w:spacing w:before="60" w:after="0" w:line="312" w:lineRule="auto"/>
      <w:ind w:firstLine="709"/>
      <w:jc w:val="both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b">
    <w:name w:val="ОБычный Знак"/>
    <w:basedOn w:val="a0"/>
    <w:link w:val="afa"/>
    <w:rsid w:val="00800C70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1"/>
    <w:rsid w:val="00800C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800C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1">
    <w:name w:val="Текст концевой сноски1"/>
    <w:basedOn w:val="a"/>
    <w:next w:val="afc"/>
    <w:link w:val="afd"/>
    <w:uiPriority w:val="99"/>
    <w:semiHidden/>
    <w:unhideWhenUsed/>
    <w:rsid w:val="00800C70"/>
    <w:pPr>
      <w:spacing w:after="0" w:line="240" w:lineRule="auto"/>
      <w:jc w:val="both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1f1"/>
    <w:uiPriority w:val="99"/>
    <w:semiHidden/>
    <w:rsid w:val="00800C70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800C70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800C70"/>
    <w:rPr>
      <w:color w:val="800080"/>
      <w:u w:val="single"/>
    </w:rPr>
  </w:style>
  <w:style w:type="paragraph" w:customStyle="1" w:styleId="1f2">
    <w:name w:val="Рецензия1"/>
    <w:next w:val="aff0"/>
    <w:hidden/>
    <w:uiPriority w:val="99"/>
    <w:semiHidden/>
    <w:rsid w:val="00800C70"/>
    <w:pPr>
      <w:spacing w:after="0" w:line="240" w:lineRule="auto"/>
    </w:pPr>
  </w:style>
  <w:style w:type="character" w:customStyle="1" w:styleId="Mention">
    <w:name w:val="Mention"/>
    <w:basedOn w:val="a0"/>
    <w:uiPriority w:val="99"/>
    <w:semiHidden/>
    <w:unhideWhenUsed/>
    <w:rsid w:val="00800C70"/>
    <w:rPr>
      <w:color w:val="2B579A"/>
      <w:shd w:val="clear" w:color="auto" w:fill="E6E6E6"/>
    </w:rPr>
  </w:style>
  <w:style w:type="table" w:styleId="a3">
    <w:name w:val="Table Grid"/>
    <w:basedOn w:val="a1"/>
    <w:uiPriority w:val="39"/>
    <w:rsid w:val="0080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C70"/>
    <w:pPr>
      <w:ind w:left="720"/>
      <w:contextualSpacing/>
    </w:pPr>
  </w:style>
  <w:style w:type="paragraph" w:styleId="23">
    <w:name w:val="List 2"/>
    <w:basedOn w:val="a"/>
    <w:uiPriority w:val="99"/>
    <w:semiHidden/>
    <w:unhideWhenUsed/>
    <w:rsid w:val="00800C70"/>
    <w:pPr>
      <w:ind w:left="566" w:hanging="283"/>
      <w:contextualSpacing/>
    </w:pPr>
  </w:style>
  <w:style w:type="paragraph" w:styleId="a6">
    <w:name w:val="footnote text"/>
    <w:basedOn w:val="a"/>
    <w:link w:val="1f3"/>
    <w:uiPriority w:val="99"/>
    <w:semiHidden/>
    <w:unhideWhenUsed/>
    <w:rsid w:val="00800C70"/>
    <w:pPr>
      <w:spacing w:after="0" w:line="240" w:lineRule="auto"/>
    </w:pPr>
    <w:rPr>
      <w:sz w:val="20"/>
      <w:szCs w:val="20"/>
    </w:rPr>
  </w:style>
  <w:style w:type="character" w:customStyle="1" w:styleId="1f3">
    <w:name w:val="Текст сноски Знак1"/>
    <w:basedOn w:val="a0"/>
    <w:link w:val="a6"/>
    <w:uiPriority w:val="99"/>
    <w:semiHidden/>
    <w:rsid w:val="00800C70"/>
    <w:rPr>
      <w:sz w:val="20"/>
      <w:szCs w:val="20"/>
    </w:rPr>
  </w:style>
  <w:style w:type="paragraph" w:styleId="a9">
    <w:name w:val="Balloon Text"/>
    <w:basedOn w:val="a"/>
    <w:link w:val="1f4"/>
    <w:uiPriority w:val="99"/>
    <w:semiHidden/>
    <w:unhideWhenUsed/>
    <w:rsid w:val="008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4">
    <w:name w:val="Текст выноски Знак1"/>
    <w:basedOn w:val="a0"/>
    <w:link w:val="a9"/>
    <w:uiPriority w:val="99"/>
    <w:semiHidden/>
    <w:rsid w:val="00800C7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1f5"/>
    <w:uiPriority w:val="99"/>
    <w:unhideWhenUsed/>
    <w:rsid w:val="0080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5">
    <w:name w:val="Верхний колонтитул Знак1"/>
    <w:basedOn w:val="a0"/>
    <w:link w:val="ab"/>
    <w:uiPriority w:val="99"/>
    <w:rsid w:val="00800C70"/>
  </w:style>
  <w:style w:type="paragraph" w:styleId="ad">
    <w:name w:val="footer"/>
    <w:basedOn w:val="a"/>
    <w:link w:val="1f6"/>
    <w:uiPriority w:val="99"/>
    <w:unhideWhenUsed/>
    <w:rsid w:val="0080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6">
    <w:name w:val="Нижний колонтитул Знак1"/>
    <w:basedOn w:val="a0"/>
    <w:link w:val="ad"/>
    <w:uiPriority w:val="99"/>
    <w:rsid w:val="00800C70"/>
  </w:style>
  <w:style w:type="paragraph" w:styleId="af0">
    <w:name w:val="List Bullet"/>
    <w:basedOn w:val="a"/>
    <w:uiPriority w:val="99"/>
    <w:semiHidden/>
    <w:unhideWhenUsed/>
    <w:rsid w:val="00800C70"/>
    <w:pPr>
      <w:ind w:left="720" w:hanging="360"/>
      <w:contextualSpacing/>
    </w:pPr>
  </w:style>
  <w:style w:type="paragraph" w:styleId="af6">
    <w:name w:val="annotation text"/>
    <w:basedOn w:val="a"/>
    <w:link w:val="1f7"/>
    <w:uiPriority w:val="99"/>
    <w:semiHidden/>
    <w:unhideWhenUsed/>
    <w:rsid w:val="00800C70"/>
    <w:pPr>
      <w:spacing w:line="240" w:lineRule="auto"/>
    </w:pPr>
    <w:rPr>
      <w:sz w:val="20"/>
      <w:szCs w:val="20"/>
    </w:rPr>
  </w:style>
  <w:style w:type="character" w:customStyle="1" w:styleId="1f7">
    <w:name w:val="Текст примечания Знак1"/>
    <w:basedOn w:val="a0"/>
    <w:link w:val="af6"/>
    <w:uiPriority w:val="99"/>
    <w:semiHidden/>
    <w:rsid w:val="00800C70"/>
    <w:rPr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800C70"/>
    <w:rPr>
      <w:b/>
      <w:bCs/>
    </w:rPr>
  </w:style>
  <w:style w:type="character" w:customStyle="1" w:styleId="1f8">
    <w:name w:val="Тема примечания Знак1"/>
    <w:basedOn w:val="1f7"/>
    <w:uiPriority w:val="99"/>
    <w:semiHidden/>
    <w:rsid w:val="00800C70"/>
    <w:rPr>
      <w:b/>
      <w:bCs/>
      <w:sz w:val="20"/>
      <w:szCs w:val="20"/>
    </w:rPr>
  </w:style>
  <w:style w:type="paragraph" w:styleId="afc">
    <w:name w:val="endnote text"/>
    <w:basedOn w:val="a"/>
    <w:link w:val="1f9"/>
    <w:uiPriority w:val="99"/>
    <w:semiHidden/>
    <w:unhideWhenUsed/>
    <w:rsid w:val="00800C70"/>
    <w:pPr>
      <w:spacing w:after="0" w:line="240" w:lineRule="auto"/>
    </w:pPr>
    <w:rPr>
      <w:sz w:val="20"/>
      <w:szCs w:val="20"/>
    </w:rPr>
  </w:style>
  <w:style w:type="character" w:customStyle="1" w:styleId="1f9">
    <w:name w:val="Текст концевой сноски Знак1"/>
    <w:basedOn w:val="a0"/>
    <w:link w:val="afc"/>
    <w:uiPriority w:val="99"/>
    <w:semiHidden/>
    <w:rsid w:val="00800C70"/>
    <w:rPr>
      <w:sz w:val="20"/>
      <w:szCs w:val="20"/>
    </w:rPr>
  </w:style>
  <w:style w:type="paragraph" w:styleId="aff0">
    <w:name w:val="Revision"/>
    <w:hidden/>
    <w:uiPriority w:val="99"/>
    <w:semiHidden/>
    <w:rsid w:val="00800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5325</Words>
  <Characters>30357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С.В.</dc:creator>
  <cp:keywords/>
  <dc:description/>
  <cp:lastModifiedBy>Олег Викторович Исаев</cp:lastModifiedBy>
  <cp:revision>2</cp:revision>
  <dcterms:created xsi:type="dcterms:W3CDTF">2017-04-24T13:56:00Z</dcterms:created>
  <dcterms:modified xsi:type="dcterms:W3CDTF">2017-04-24T13:56:00Z</dcterms:modified>
</cp:coreProperties>
</file>