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155" w:rsidRPr="00C85155" w:rsidRDefault="00C85155" w:rsidP="00A37A74">
      <w:pPr>
        <w:tabs>
          <w:tab w:val="left" w:pos="993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C85155">
        <w:rPr>
          <w:rFonts w:ascii="Times New Roman" w:eastAsia="Calibri" w:hAnsi="Times New Roman" w:cs="Times New Roman"/>
          <w:b/>
          <w:sz w:val="28"/>
          <w:szCs w:val="28"/>
        </w:rPr>
        <w:t>Условия финансового обеспечения проектов - общие требования и критерии, являющиеся основаниями для отбора проектов</w:t>
      </w:r>
      <w:r w:rsidR="00173495">
        <w:rPr>
          <w:rFonts w:ascii="Times New Roman" w:eastAsia="Calibri" w:hAnsi="Times New Roman" w:cs="Times New Roman"/>
          <w:b/>
          <w:sz w:val="28"/>
          <w:szCs w:val="28"/>
        </w:rPr>
        <w:t xml:space="preserve"> для финансирования Фондом.</w:t>
      </w:r>
    </w:p>
    <w:p w:rsidR="00C85155" w:rsidRPr="00C85155" w:rsidRDefault="00C85155" w:rsidP="00C85155">
      <w:pPr>
        <w:keepNext/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360" w:after="6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4"/>
          <w:lang w:eastAsia="ru-RU"/>
        </w:rPr>
      </w:pPr>
      <w:bookmarkStart w:id="1" w:name="_Toc424118370"/>
      <w:bookmarkStart w:id="2" w:name="_Toc472350693"/>
      <w:r w:rsidRPr="00C85155">
        <w:rPr>
          <w:rFonts w:ascii="Times New Roman" w:eastAsia="Times New Roman" w:hAnsi="Times New Roman" w:cs="Times New Roman"/>
          <w:b/>
          <w:bCs/>
          <w:kern w:val="28"/>
          <w:sz w:val="28"/>
          <w:szCs w:val="24"/>
          <w:lang w:eastAsia="ru-RU"/>
        </w:rPr>
        <w:t>Введение</w:t>
      </w:r>
      <w:bookmarkEnd w:id="1"/>
      <w:bookmarkEnd w:id="2"/>
    </w:p>
    <w:p w:rsidR="00800C70" w:rsidRPr="00800C70" w:rsidRDefault="00800C70" w:rsidP="00800C70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Финансирование проектов осуществляется Фондом в соответствии со следующими условиями:</w:t>
      </w:r>
    </w:p>
    <w:p w:rsidR="00800C70" w:rsidRPr="00800C70" w:rsidRDefault="00800C70" w:rsidP="00C85155">
      <w:pPr>
        <w:numPr>
          <w:ilvl w:val="0"/>
          <w:numId w:val="3"/>
        </w:numPr>
        <w:tabs>
          <w:tab w:val="num" w:pos="993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соответствие проекта условиям программы;</w:t>
      </w:r>
    </w:p>
    <w:p w:rsidR="00800C70" w:rsidRPr="00800C70" w:rsidRDefault="00800C70" w:rsidP="00C85155">
      <w:pPr>
        <w:numPr>
          <w:ilvl w:val="0"/>
          <w:numId w:val="3"/>
        </w:numPr>
        <w:tabs>
          <w:tab w:val="num" w:pos="993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соответствие проекта критериям отбора проектов;</w:t>
      </w:r>
    </w:p>
    <w:p w:rsidR="00800C70" w:rsidRPr="00800C70" w:rsidRDefault="00800C70" w:rsidP="00C85155">
      <w:pPr>
        <w:numPr>
          <w:ilvl w:val="0"/>
          <w:numId w:val="3"/>
        </w:numPr>
        <w:tabs>
          <w:tab w:val="num" w:pos="993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соответствие Заявителя требованиям, предъявляемым к претендентам на получение финансирования;</w:t>
      </w:r>
    </w:p>
    <w:p w:rsidR="00800C70" w:rsidRPr="00800C70" w:rsidRDefault="00800C70" w:rsidP="00C85155">
      <w:pPr>
        <w:numPr>
          <w:ilvl w:val="0"/>
          <w:numId w:val="3"/>
        </w:numPr>
        <w:tabs>
          <w:tab w:val="num" w:pos="993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соответствие планируемых расходов перечню направлений целевого использования предоставляемого финансирования проекта;</w:t>
      </w:r>
    </w:p>
    <w:p w:rsidR="00800C70" w:rsidRPr="00800C70" w:rsidRDefault="00800C70" w:rsidP="00C85155">
      <w:pPr>
        <w:numPr>
          <w:ilvl w:val="0"/>
          <w:numId w:val="3"/>
        </w:numPr>
        <w:tabs>
          <w:tab w:val="num" w:pos="993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софинансирование проекта со стороны</w:t>
      </w:r>
      <w:r w:rsidRPr="00800C70">
        <w:rPr>
          <w:rFonts w:ascii="Calibri" w:eastAsia="Calibri" w:hAnsi="Calibri" w:cs="Times New Roman"/>
        </w:rPr>
        <w:t xml:space="preserve"> </w:t>
      </w:r>
      <w:r w:rsidRPr="00800C70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автономного учреждения «Российский фонд технологического развития» (Фонд развития промышленности).</w:t>
      </w:r>
    </w:p>
    <w:p w:rsidR="00800C70" w:rsidRPr="00800C70" w:rsidRDefault="00800C70" w:rsidP="00C85155">
      <w:pPr>
        <w:keepNext/>
        <w:keepLines/>
        <w:widowControl w:val="0"/>
        <w:numPr>
          <w:ilvl w:val="0"/>
          <w:numId w:val="7"/>
        </w:numPr>
        <w:tabs>
          <w:tab w:val="num" w:pos="993"/>
        </w:tabs>
        <w:overflowPunct w:val="0"/>
        <w:autoSpaceDE w:val="0"/>
        <w:autoSpaceDN w:val="0"/>
        <w:adjustRightInd w:val="0"/>
        <w:spacing w:before="360" w:after="60" w:line="276" w:lineRule="auto"/>
        <w:ind w:left="0"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4"/>
          <w:lang w:eastAsia="ru-RU"/>
        </w:rPr>
      </w:pPr>
      <w:bookmarkStart w:id="3" w:name="_Toc472350694"/>
      <w:r w:rsidRPr="00800C70">
        <w:rPr>
          <w:rFonts w:ascii="Times New Roman" w:eastAsia="Times New Roman" w:hAnsi="Times New Roman" w:cs="Times New Roman"/>
          <w:b/>
          <w:bCs/>
          <w:kern w:val="28"/>
          <w:sz w:val="28"/>
          <w:szCs w:val="24"/>
          <w:lang w:eastAsia="ru-RU"/>
        </w:rPr>
        <w:t>Основные термины и определения</w:t>
      </w:r>
      <w:bookmarkEnd w:id="3"/>
    </w:p>
    <w:p w:rsidR="00800C70" w:rsidRPr="00800C70" w:rsidRDefault="00800C70" w:rsidP="00800C70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_Toc437460690"/>
      <w:r w:rsidRPr="00800C70">
        <w:rPr>
          <w:rFonts w:ascii="Times New Roman" w:eastAsia="Calibri" w:hAnsi="Times New Roman" w:cs="Times New Roman"/>
          <w:b/>
          <w:sz w:val="24"/>
          <w:szCs w:val="24"/>
        </w:rPr>
        <w:t xml:space="preserve">Аффилированные лица – </w:t>
      </w:r>
      <w:r w:rsidRPr="00800C70">
        <w:rPr>
          <w:rFonts w:ascii="Times New Roman" w:eastAsia="Calibri" w:hAnsi="Times New Roman" w:cs="Times New Roman"/>
          <w:sz w:val="24"/>
          <w:szCs w:val="24"/>
        </w:rPr>
        <w:t>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деятельность, и признаваемые таковыми в соответствии с законодательством Российской Федерации.</w:t>
      </w:r>
    </w:p>
    <w:p w:rsidR="00800C70" w:rsidRPr="00800C70" w:rsidRDefault="00800C70" w:rsidP="00800C7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b/>
          <w:sz w:val="24"/>
          <w:szCs w:val="24"/>
        </w:rPr>
        <w:t>Бенефициарный владелец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– физическое лицо, которое, в конечном счете, прямо или косвенно (через третьих лиц) владеет юридическим лицом или имеет в нем преобладающее участие (более 25 процентов в капитале), либо имеет возможность контролировать его действия в силу иных оснований.</w:t>
      </w:r>
    </w:p>
    <w:p w:rsidR="00800C70" w:rsidRPr="00800C70" w:rsidRDefault="00800C70" w:rsidP="00800C7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</w:rPr>
      </w:pPr>
      <w:bookmarkStart w:id="5" w:name="_Toc438817165"/>
      <w:r w:rsidRPr="00C8515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Государственная информационная система промышленности (ГИСП) - </w:t>
      </w:r>
      <w:r w:rsidRPr="00C85155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государственная информационная система, созданная в соответствии со ст. 14 Федерального закона от 31.12.2014 № 488-ФЗ «О промышленной политике в Российской Федерации».</w:t>
      </w:r>
    </w:p>
    <w:p w:rsidR="00800C70" w:rsidRPr="00800C70" w:rsidRDefault="00800C70" w:rsidP="00800C7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</w:rPr>
      </w:pPr>
      <w:r w:rsidRPr="00800C7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Группа лиц </w:t>
      </w:r>
      <w:r w:rsidRPr="00800C70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– совокупность физических и юридических лиц, каждое из которых </w:t>
      </w:r>
      <w:r w:rsidRPr="00800C70">
        <w:rPr>
          <w:rFonts w:ascii="Times New Roman" w:eastAsia="Calibri" w:hAnsi="Times New Roman" w:cs="Times New Roman"/>
          <w:sz w:val="24"/>
          <w:szCs w:val="24"/>
        </w:rPr>
        <w:t>способно оказывать влияние на деятельность (или деятельность которого находится под влиянием) таких юридических и (или) физических лиц, и (или) находящиеся под влиянием (контролем) одного юридического и (или) физического лица, и признаваемые таковыми в соответствии с законодательством Российской Федерации или в силу экономического влияния.</w:t>
      </w:r>
    </w:p>
    <w:p w:rsidR="00800C70" w:rsidRPr="00800C70" w:rsidRDefault="00800C70" w:rsidP="00800C7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800C7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Заем – </w:t>
      </w:r>
      <w:r w:rsidRPr="00800C70">
        <w:rPr>
          <w:rFonts w:ascii="Times New Roman" w:eastAsia="MS Mincho" w:hAnsi="Times New Roman" w:cs="Times New Roman"/>
          <w:sz w:val="24"/>
          <w:szCs w:val="24"/>
          <w:lang w:eastAsia="ru-RU"/>
        </w:rPr>
        <w:t>целевой заем, предоставленный Фондом в качестве финансирования проектов субъектам деятельности в сфере промышленности.</w:t>
      </w:r>
      <w:bookmarkEnd w:id="5"/>
    </w:p>
    <w:p w:rsidR="00800C70" w:rsidRPr="00800C70" w:rsidRDefault="00800C70" w:rsidP="00800C70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b/>
          <w:sz w:val="24"/>
          <w:szCs w:val="24"/>
        </w:rPr>
        <w:t>Заявитель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– российский субъект деятельности в сфере промышленности, осуществляющий свою деятельность на территории Московской области, предоставивший документы в Фонд для участия в программах финансирования.</w:t>
      </w:r>
    </w:p>
    <w:bookmarkEnd w:id="4"/>
    <w:p w:rsidR="00800C70" w:rsidRPr="00800C70" w:rsidRDefault="00800C70" w:rsidP="00800C70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800C70">
        <w:rPr>
          <w:rFonts w:ascii="Times New Roman" w:eastAsia="Calibri" w:hAnsi="Times New Roman" w:cs="Times New Roman"/>
          <w:b/>
          <w:sz w:val="24"/>
          <w:szCs w:val="24"/>
        </w:rPr>
        <w:t>Ключевой исполнитель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– поставщик промышленного оборудования, подрядчик на выполнение работ (услуг), на которого приходится выплата Заемщиком более чем 20% от суммы займа в ходе реализации проекта.</w:t>
      </w:r>
    </w:p>
    <w:p w:rsidR="00800C70" w:rsidRPr="00173495" w:rsidRDefault="00800C70" w:rsidP="0017349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Критические замечания – </w:t>
      </w:r>
      <w:r w:rsidRPr="00800C70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недостатки, выявленные в ходе экспертизы и отбора проектов, внешние и внутренние ограничения, которые могут препятствовать успешной </w:t>
      </w:r>
      <w:r w:rsidRPr="00800C70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lastRenderedPageBreak/>
        <w:t xml:space="preserve">реализации проекта ввиду того, что они являются существенными и не были учтены при его подготовке, но при этом </w:t>
      </w:r>
      <w:r w:rsidRPr="00800C70">
        <w:rPr>
          <w:rFonts w:ascii="Times New Roman" w:eastAsia="Calibri" w:hAnsi="Times New Roman" w:cs="Times New Roman"/>
          <w:sz w:val="24"/>
          <w:szCs w:val="24"/>
        </w:rPr>
        <w:t>не являющиеся безусловным препятствием для</w:t>
      </w:r>
      <w:r w:rsidR="00173495">
        <w:rPr>
          <w:rFonts w:ascii="Times New Roman" w:eastAsia="Calibri" w:hAnsi="Times New Roman" w:cs="Times New Roman"/>
          <w:sz w:val="24"/>
          <w:szCs w:val="24"/>
        </w:rPr>
        <w:t xml:space="preserve"> финансирования проекта Фондом.</w:t>
      </w:r>
    </w:p>
    <w:p w:rsidR="00800C70" w:rsidRPr="00800C70" w:rsidRDefault="00800C70" w:rsidP="00800C70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b/>
          <w:sz w:val="24"/>
          <w:szCs w:val="24"/>
        </w:rPr>
        <w:t>Основные участники проекта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– лица, участие которых в рассматриваемом проекте является критичным для его успешной реализации, включая  ключевых исполнителей, обладающих компетенциями, необходимыми при осуществлении определенных видов деятельности; лица, предоставляющие финансирование и обеспечение по проекту (финансовые организации, инвесторы, поручители, гаранты, залогодатели); лица, предоставляющие доступ к ключевым активам по проекту (например, патент, технологию/ноу-хау, земельный участок); лизинговые компании; банки. </w:t>
      </w:r>
    </w:p>
    <w:p w:rsidR="00C85155" w:rsidRDefault="00800C70" w:rsidP="00800C70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b/>
          <w:sz w:val="24"/>
          <w:szCs w:val="24"/>
        </w:rPr>
        <w:t>Обеспечение возврата займа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– виды обеспечения, принимаемые Фондом и предусмотренные </w:t>
      </w:r>
      <w:bookmarkStart w:id="6" w:name="_Hlk478764405"/>
      <w:r w:rsidRPr="00C85155">
        <w:rPr>
          <w:rFonts w:ascii="Times New Roman" w:eastAsia="Calibri" w:hAnsi="Times New Roman" w:cs="Times New Roman"/>
          <w:sz w:val="24"/>
          <w:szCs w:val="24"/>
        </w:rPr>
        <w:t>Положением о порядке обеспечения возврата займов, предоставленных в качестве финансирования проектов некоммерческой организацией «Государственный фонд развития промышленности Московской области» № ПФ-02-2017</w:t>
      </w:r>
      <w:bookmarkEnd w:id="6"/>
      <w:r w:rsidR="00C85155" w:rsidRPr="00C85155">
        <w:rPr>
          <w:rFonts w:ascii="Times New Roman" w:eastAsia="Calibri" w:hAnsi="Times New Roman" w:cs="Times New Roman"/>
          <w:sz w:val="24"/>
          <w:szCs w:val="24"/>
        </w:rPr>
        <w:t>.</w:t>
      </w:r>
      <w:r w:rsidRPr="00C851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0C70" w:rsidRPr="00800C70" w:rsidRDefault="00800C70" w:rsidP="00800C70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b/>
          <w:sz w:val="24"/>
          <w:szCs w:val="24"/>
        </w:rPr>
        <w:t>Общий бюджет проекта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– сумма всех затрат по проекту (не включая проценты по договору займа между Заявителем, </w:t>
      </w:r>
      <w:r w:rsidRPr="00C85155">
        <w:rPr>
          <w:rFonts w:ascii="Times New Roman" w:eastAsia="Calibri" w:hAnsi="Times New Roman" w:cs="Times New Roman"/>
          <w:sz w:val="24"/>
          <w:szCs w:val="24"/>
        </w:rPr>
        <w:t xml:space="preserve">Фондом и Федеральным </w:t>
      </w:r>
      <w:r w:rsidRPr="00800C70">
        <w:rPr>
          <w:rFonts w:ascii="Times New Roman" w:eastAsia="Calibri" w:hAnsi="Times New Roman" w:cs="Times New Roman"/>
          <w:sz w:val="24"/>
          <w:szCs w:val="24"/>
        </w:rPr>
        <w:t>Фондом, а также по договорам по привлечению финансирования): общая сумма ранее осуществленных и планируемых инвестиций в проект (понесенных не ранее двух лет, предшествующих дате подачи Заявки), включая затраты на подготовку проекта и предпроектные работы (подготовка проектно-сметной документации, получение необходимых согласований и разрешений, проектно-изыскательские работы и т.д.), проектные работы (строительные, монтажные, пуско-наладочные работы и т.д.), капитальные вложения (приобретение зданий, сооружений и оборудования и т.д.), подбор и обучение персонала, инвестиции и оборотный капитал и иные затраты. Планируемые инвестиции в проект указываются в номинальных ценах (с учетом прогнозной инфляции соответствующих затрат). Ранее осуществленные инвестиции в проект указываются отдельно по фактической величине понесенных и документально подтвержденных затрат.</w:t>
      </w:r>
    </w:p>
    <w:p w:rsidR="00800C70" w:rsidRPr="00800C70" w:rsidRDefault="00800C70" w:rsidP="00800C70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b/>
          <w:sz w:val="24"/>
          <w:szCs w:val="24"/>
        </w:rPr>
        <w:t xml:space="preserve">Проект – </w:t>
      </w:r>
      <w:r w:rsidRPr="00800C70">
        <w:rPr>
          <w:rFonts w:ascii="Times New Roman" w:eastAsia="Calibri" w:hAnsi="Times New Roman" w:cs="Times New Roman"/>
          <w:sz w:val="24"/>
          <w:szCs w:val="24"/>
        </w:rPr>
        <w:t>совокупность организационных, технических, финансовых, кадровых мероприятий, имеющих целью в установленные бюджет и сроки создание нового предприятия/производства и/или его модернизацию для внедрения новых технологий и продукции.</w:t>
      </w:r>
    </w:p>
    <w:p w:rsidR="00800C70" w:rsidRPr="00800C70" w:rsidRDefault="00800C70" w:rsidP="00800C70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b/>
          <w:sz w:val="24"/>
          <w:szCs w:val="24"/>
        </w:rPr>
        <w:t>Субъект деятельности в сфере промышленности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– российское юридическое лицо, осуществляющее деятельность в сфере промышленности на территории Московской области.</w:t>
      </w:r>
    </w:p>
    <w:p w:rsidR="00800C70" w:rsidRPr="00800C70" w:rsidRDefault="00800C70" w:rsidP="00800C70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800C70">
        <w:rPr>
          <w:rFonts w:ascii="Times New Roman" w:eastAsia="Calibri" w:hAnsi="Times New Roman" w:cs="Times New Roman"/>
          <w:b/>
          <w:sz w:val="24"/>
          <w:szCs w:val="24"/>
        </w:rPr>
        <w:t>Технологическое перевооружение и модернизация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– комплекс мероприятий по повышению технологического и/или технико-экономического уровня отдельных производств, цехов и участков в соответствии с принципами наилучших доступных технологий, механизации и автоматизации производства, модернизации и замены устаревшего и физически изношенного оборудования новым, более производительным. </w:t>
      </w:r>
    </w:p>
    <w:p w:rsidR="00800C70" w:rsidRPr="00800C70" w:rsidRDefault="00800C70" w:rsidP="00800C7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_Hlk478687526"/>
      <w:r w:rsidRPr="00800C7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Фонд </w:t>
      </w:r>
      <w:r w:rsidRPr="00800C70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– </w:t>
      </w:r>
      <w:r w:rsidRPr="00800C7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800C70">
        <w:rPr>
          <w:rFonts w:ascii="Times New Roman" w:eastAsia="Calibri" w:hAnsi="Times New Roman" w:cs="Times New Roman"/>
          <w:sz w:val="24"/>
          <w:szCs w:val="24"/>
        </w:rPr>
        <w:t>некоммерческая организация «Государственный фонд развития промышленности Московской области».</w:t>
      </w:r>
      <w:bookmarkEnd w:id="7"/>
    </w:p>
    <w:p w:rsidR="00800C70" w:rsidRPr="00800C70" w:rsidRDefault="00800C70" w:rsidP="00800C7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b/>
          <w:sz w:val="24"/>
          <w:szCs w:val="24"/>
        </w:rPr>
        <w:t>Федеральный Фонд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- Федеральное государственное автономное учреждение «Российский фонд технологического развития» (Федеральный Фонд развития промышленности)</w:t>
      </w:r>
    </w:p>
    <w:p w:rsidR="00800C70" w:rsidRPr="00800C70" w:rsidRDefault="00800C70" w:rsidP="00800C7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b/>
          <w:sz w:val="24"/>
          <w:szCs w:val="24"/>
        </w:rPr>
        <w:t xml:space="preserve">Экспертный совет – </w:t>
      </w:r>
      <w:r w:rsidRPr="00800C70">
        <w:rPr>
          <w:rFonts w:ascii="Times New Roman" w:eastAsia="Calibri" w:hAnsi="Times New Roman" w:cs="Times New Roman"/>
          <w:sz w:val="24"/>
          <w:szCs w:val="24"/>
        </w:rPr>
        <w:t>коллегиальный орган управления Фонда, к компетенции которого относится принятие решения о предоставлении финансовой поддержки по проектам.</w:t>
      </w:r>
    </w:p>
    <w:p w:rsidR="00800C70" w:rsidRPr="00800C70" w:rsidRDefault="00800C70" w:rsidP="00800C70">
      <w:pPr>
        <w:keepNext/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360" w:after="6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4"/>
          <w:lang w:eastAsia="ru-RU"/>
        </w:rPr>
      </w:pPr>
      <w:bookmarkStart w:id="8" w:name="_Toc472350695"/>
      <w:bookmarkStart w:id="9" w:name="_Toc437460692"/>
      <w:bookmarkStart w:id="10" w:name="_Toc424117593"/>
      <w:r w:rsidRPr="00800C70">
        <w:rPr>
          <w:rFonts w:ascii="Times New Roman" w:eastAsia="Times New Roman" w:hAnsi="Times New Roman" w:cs="Times New Roman"/>
          <w:b/>
          <w:bCs/>
          <w:kern w:val="28"/>
          <w:sz w:val="28"/>
          <w:szCs w:val="24"/>
          <w:lang w:eastAsia="ru-RU"/>
        </w:rPr>
        <w:lastRenderedPageBreak/>
        <w:t xml:space="preserve">Условия </w:t>
      </w:r>
      <w:bookmarkEnd w:id="8"/>
      <w:r w:rsidRPr="00800C70">
        <w:rPr>
          <w:rFonts w:ascii="Times New Roman" w:eastAsia="Times New Roman" w:hAnsi="Times New Roman" w:cs="Times New Roman"/>
          <w:b/>
          <w:bCs/>
          <w:kern w:val="28"/>
          <w:sz w:val="28"/>
          <w:szCs w:val="24"/>
          <w:lang w:eastAsia="ru-RU"/>
        </w:rPr>
        <w:t>программы</w:t>
      </w:r>
      <w:bookmarkStart w:id="11" w:name="_Toc424117594"/>
      <w:bookmarkEnd w:id="9"/>
      <w:bookmarkEnd w:id="10"/>
    </w:p>
    <w:p w:rsidR="00800C70" w:rsidRPr="00800C70" w:rsidRDefault="00800C70" w:rsidP="00800C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00C70">
        <w:rPr>
          <w:rFonts w:ascii="Times New Roman" w:eastAsia="Calibri" w:hAnsi="Times New Roman" w:cs="Times New Roman"/>
          <w:i/>
          <w:sz w:val="24"/>
          <w:szCs w:val="24"/>
        </w:rPr>
        <w:t>В соответствии с программой "Проекты развития" производится заемное финансирование проектов, реализуемых по приоритетным направлениям российской промышленности в отра</w:t>
      </w:r>
      <w:r w:rsidR="00617FF3">
        <w:rPr>
          <w:rFonts w:ascii="Times New Roman" w:eastAsia="Calibri" w:hAnsi="Times New Roman" w:cs="Times New Roman"/>
          <w:i/>
          <w:sz w:val="24"/>
          <w:szCs w:val="24"/>
        </w:rPr>
        <w:t>слях, указанных в Приложении № 2</w:t>
      </w:r>
      <w:r w:rsidRPr="00800C70">
        <w:rPr>
          <w:rFonts w:ascii="Times New Roman" w:eastAsia="Calibri" w:hAnsi="Times New Roman" w:cs="Times New Roman"/>
          <w:i/>
          <w:sz w:val="24"/>
          <w:szCs w:val="24"/>
        </w:rPr>
        <w:t xml:space="preserve">, и направленных </w:t>
      </w:r>
      <w:r w:rsidRPr="00800C7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 разработку и внедрение на предприятиях перспективных технологий, соответствующих принципам наилучших доступных технологий (в том числе базовых отраслевых технологий),</w:t>
      </w:r>
      <w:r w:rsidRPr="00800C70">
        <w:rPr>
          <w:rFonts w:ascii="Times New Roman" w:eastAsia="Calibri" w:hAnsi="Times New Roman" w:cs="Times New Roman"/>
          <w:i/>
          <w:sz w:val="24"/>
          <w:szCs w:val="24"/>
        </w:rPr>
        <w:t xml:space="preserve"> на производство новой конкурентоспособной и высокотехнологичной продукции гражданского назначения с импортозамещающим или экспортным потенциалом.</w:t>
      </w:r>
    </w:p>
    <w:p w:rsidR="00800C70" w:rsidRPr="00800C70" w:rsidRDefault="00C85155" w:rsidP="00800C70">
      <w:pPr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800C70" w:rsidRPr="00800C70">
        <w:rPr>
          <w:rFonts w:ascii="Times New Roman" w:eastAsia="Calibri" w:hAnsi="Times New Roman" w:cs="Times New Roman"/>
          <w:sz w:val="24"/>
          <w:szCs w:val="24"/>
        </w:rPr>
        <w:t>.1. В рамках программы осуществляется финансирование проектов, соответствующих следующим требованиям:</w:t>
      </w:r>
    </w:p>
    <w:p w:rsidR="00800C70" w:rsidRPr="00800C70" w:rsidRDefault="00800C70" w:rsidP="00FA4EAD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срок займа – не более 5 лет; </w:t>
      </w:r>
    </w:p>
    <w:p w:rsidR="00800C70" w:rsidRPr="00800C70" w:rsidRDefault="00800C70" w:rsidP="00FA4EAD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общий бюджет проекта - не менее 40 млн руб.;</w:t>
      </w:r>
    </w:p>
    <w:p w:rsidR="00800C70" w:rsidRPr="00800C70" w:rsidRDefault="00800C70" w:rsidP="00FA4EAD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сумма займа – от 20 до 100 млн руб.;</w:t>
      </w:r>
    </w:p>
    <w:p w:rsidR="00800C70" w:rsidRPr="00800C70" w:rsidRDefault="00800C70" w:rsidP="00FA4EAD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целевой объем продаж новой продукции - не менее 50% от суммы займа в год, начиная со 2 года серийного производства;</w:t>
      </w:r>
    </w:p>
    <w:p w:rsidR="00800C70" w:rsidRPr="00800C70" w:rsidRDefault="00800C70" w:rsidP="00FA4EAD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наличие обязательств по софинансированию проекта со стороны Заявителя, частных инвесторов или за счет банковских кредитов в объеме не менее 50% общего бюджета проекта</w:t>
      </w:r>
      <w:r w:rsidRPr="00800C70">
        <w:rPr>
          <w:rFonts w:ascii="Arial" w:eastAsia="Calibri" w:hAnsi="Arial" w:cs="Arial"/>
          <w:sz w:val="24"/>
          <w:szCs w:val="24"/>
        </w:rPr>
        <w:t xml:space="preserve">. </w:t>
      </w:r>
    </w:p>
    <w:p w:rsidR="00800C70" w:rsidRPr="00800C70" w:rsidRDefault="00800C70" w:rsidP="00800C70">
      <w:pPr>
        <w:tabs>
          <w:tab w:val="left" w:pos="851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Экспертный совет Фонда при принятии решения о финансировании проекта определяет сумму и срок займа, исходя из особенностей проекта и финансового состояния Заявителя, но не более суммы, запрошенной Заявителем.</w:t>
      </w:r>
    </w:p>
    <w:p w:rsidR="00800C70" w:rsidRPr="00800C70" w:rsidRDefault="00800C70" w:rsidP="00800C70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При расчете объема софинансирования проекта со стороны Заявителя, частных инвесторов или за счет банковских кредитов:</w:t>
      </w:r>
    </w:p>
    <w:p w:rsidR="00800C70" w:rsidRPr="00800C70" w:rsidRDefault="00800C70" w:rsidP="00FA4EA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могут быть учтены инвестиции, осуществленные в проект не ранее двух лет, предшествующих дате подачи Заявки, при условии документального подтверждения понесенных затрат до вынесения проекта на рассмотрение Экспертным советом Фонда; </w:t>
      </w:r>
    </w:p>
    <w:p w:rsidR="00800C70" w:rsidRPr="00800C70" w:rsidRDefault="00800C70" w:rsidP="00FA4EA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не учитываются инвестиции, осуществляемые (осуществленные) за счет средств, выделяемых напрямую для поддержки проектов из бюджета (субсидии и т.п.);</w:t>
      </w:r>
    </w:p>
    <w:p w:rsidR="00800C70" w:rsidRPr="00800C70" w:rsidRDefault="00800C70" w:rsidP="00FA4EA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не учитываются доходы в виде денежного потока, генерируемого проектом.</w:t>
      </w:r>
    </w:p>
    <w:p w:rsidR="00800C70" w:rsidRPr="00800C70" w:rsidRDefault="00800C70" w:rsidP="00800C70">
      <w:pPr>
        <w:tabs>
          <w:tab w:val="left" w:pos="851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Софинансирование за счет собственных средств Заявителя (и/или аффилированных лиц, бенефициаров Заявителя) в размере не менее 15% от суммы займа должно быть осуществлено в следующий период: не ранее 2 лет до даты подачи Заявки и не позднее 6 месяцев с даты заключения договора Займа.</w:t>
      </w:r>
    </w:p>
    <w:p w:rsidR="00800C70" w:rsidRPr="00800C70" w:rsidRDefault="00C85155" w:rsidP="00800C70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800C70" w:rsidRPr="00800C70">
        <w:rPr>
          <w:rFonts w:ascii="Times New Roman" w:eastAsia="Calibri" w:hAnsi="Times New Roman" w:cs="Times New Roman"/>
          <w:sz w:val="24"/>
          <w:szCs w:val="24"/>
        </w:rPr>
        <w:t>.2. В рамках данной программы Фонд осуществляет финансирование проектов совместно с Федеральным Фондом развития промышленности, с</w:t>
      </w:r>
      <w:r w:rsidR="00800C70" w:rsidRPr="00800C70">
        <w:rPr>
          <w:rFonts w:ascii="Calibri" w:eastAsia="Calibri" w:hAnsi="Calibri" w:cs="Times New Roman"/>
        </w:rPr>
        <w:t xml:space="preserve"> </w:t>
      </w:r>
      <w:r w:rsidR="00800C70" w:rsidRPr="00800C70">
        <w:rPr>
          <w:rFonts w:ascii="Times New Roman" w:eastAsia="Calibri" w:hAnsi="Times New Roman" w:cs="Times New Roman"/>
          <w:sz w:val="24"/>
          <w:szCs w:val="24"/>
        </w:rPr>
        <w:t>которыми заключено соответствующее соглашение.</w:t>
      </w:r>
    </w:p>
    <w:p w:rsidR="00800C70" w:rsidRPr="00800C70" w:rsidRDefault="00800C70" w:rsidP="00800C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Параметры участия каждого из фондов в финансировании проектов определяются соглашениями, заключенными между Фондом и Федеральным Фондом.</w:t>
      </w:r>
    </w:p>
    <w:p w:rsidR="00800C70" w:rsidRPr="00800C70" w:rsidRDefault="00800C70" w:rsidP="00800C70">
      <w:pPr>
        <w:keepNext/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360" w:after="6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4"/>
          <w:lang w:eastAsia="ru-RU"/>
        </w:rPr>
      </w:pPr>
      <w:bookmarkStart w:id="12" w:name="_Toc437460693"/>
      <w:bookmarkStart w:id="13" w:name="_Toc472350696"/>
      <w:r w:rsidRPr="00800C70">
        <w:rPr>
          <w:rFonts w:ascii="Times New Roman" w:eastAsia="Times New Roman" w:hAnsi="Times New Roman" w:cs="Times New Roman"/>
          <w:b/>
          <w:bCs/>
          <w:kern w:val="28"/>
          <w:sz w:val="28"/>
          <w:szCs w:val="24"/>
          <w:lang w:eastAsia="ru-RU"/>
        </w:rPr>
        <w:t xml:space="preserve">Критерии отбора проектов для </w:t>
      </w:r>
      <w:bookmarkEnd w:id="11"/>
      <w:bookmarkEnd w:id="12"/>
      <w:r w:rsidRPr="00800C70">
        <w:rPr>
          <w:rFonts w:ascii="Times New Roman" w:eastAsia="Times New Roman" w:hAnsi="Times New Roman" w:cs="Times New Roman"/>
          <w:b/>
          <w:bCs/>
          <w:kern w:val="28"/>
          <w:sz w:val="28"/>
          <w:szCs w:val="24"/>
          <w:lang w:eastAsia="ru-RU"/>
        </w:rPr>
        <w:t>финансирования</w:t>
      </w:r>
      <w:bookmarkEnd w:id="13"/>
    </w:p>
    <w:p w:rsidR="00800C70" w:rsidRPr="00800C70" w:rsidRDefault="00800C70" w:rsidP="00800C70">
      <w:pPr>
        <w:shd w:val="clear" w:color="auto" w:fill="FFFFFF"/>
        <w:tabs>
          <w:tab w:val="left" w:pos="0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4.1. В рамках отбора проектов для финансирования со стороны Фонда осуществляется оценка проектов на соответствие следующим критериям: </w:t>
      </w:r>
    </w:p>
    <w:p w:rsidR="00800C70" w:rsidRPr="00800C70" w:rsidRDefault="00800C70" w:rsidP="00FA4EA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рыночная перспективность и потенциал импортозамещения/экспортный </w:t>
      </w:r>
      <w:r w:rsidRPr="00FA4EAD">
        <w:rPr>
          <w:rFonts w:ascii="Times New Roman" w:eastAsia="Calibri" w:hAnsi="Times New Roman" w:cs="Times New Roman"/>
          <w:sz w:val="24"/>
          <w:szCs w:val="24"/>
        </w:rPr>
        <w:t>потенциал продукта;</w:t>
      </w:r>
    </w:p>
    <w:p w:rsidR="00800C70" w:rsidRPr="00800C70" w:rsidRDefault="00800C70" w:rsidP="00FA4EA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научно-техническая перспективность продукта и проекта, включая соответствие принципам наилучших доступных технологий;</w:t>
      </w:r>
    </w:p>
    <w:p w:rsidR="00800C70" w:rsidRPr="00800C70" w:rsidRDefault="00800C70" w:rsidP="00FA4EA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lastRenderedPageBreak/>
        <w:t>производственная обоснованность проекта и стратегическая заинтересованность компании в его реализации;</w:t>
      </w:r>
    </w:p>
    <w:p w:rsidR="00800C70" w:rsidRPr="00800C70" w:rsidRDefault="00800C70" w:rsidP="00FA4EA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финансово-экономическая эффективность и устойчивость проекта;</w:t>
      </w:r>
    </w:p>
    <w:p w:rsidR="00800C70" w:rsidRPr="00800C70" w:rsidRDefault="00800C70" w:rsidP="00FA4EA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финансовая состоятельность Заявителя; </w:t>
      </w:r>
    </w:p>
    <w:p w:rsidR="00800C70" w:rsidRPr="00800C70" w:rsidRDefault="00800C70" w:rsidP="00FA4EA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качество и достаточность обеспечения возврата займа;</w:t>
      </w:r>
    </w:p>
    <w:p w:rsidR="00800C70" w:rsidRPr="00800C70" w:rsidRDefault="00800C70" w:rsidP="00FA4EA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юридическая состоятельность Заявителя, лиц, предоставивших обеспечение, ключевых исполнителей и схемы реализации проекта.</w:t>
      </w:r>
    </w:p>
    <w:p w:rsidR="00800C70" w:rsidRPr="00800C70" w:rsidRDefault="00800C70" w:rsidP="00800C70">
      <w:pPr>
        <w:shd w:val="clear" w:color="auto" w:fill="FFFFFF"/>
        <w:tabs>
          <w:tab w:val="left" w:pos="0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4.2. Для оценки соответствия проекта критерию </w:t>
      </w:r>
      <w:r w:rsidRPr="00800C70">
        <w:rPr>
          <w:rFonts w:ascii="Times New Roman" w:eastAsia="MS Mincho" w:hAnsi="Times New Roman" w:cs="Times New Roman"/>
          <w:sz w:val="24"/>
          <w:szCs w:val="24"/>
          <w:lang w:eastAsia="ru-RU"/>
        </w:rPr>
        <w:t>«</w:t>
      </w:r>
      <w:r w:rsidRPr="00800C70">
        <w:rPr>
          <w:rFonts w:ascii="Times New Roman" w:eastAsia="Calibri" w:hAnsi="Times New Roman" w:cs="Times New Roman"/>
          <w:sz w:val="24"/>
          <w:szCs w:val="24"/>
        </w:rPr>
        <w:t>Рыночная перспективность и потенциал импортозамещения/экспортный потенциал продукта</w:t>
      </w:r>
      <w:r w:rsidRPr="00800C70">
        <w:rPr>
          <w:rFonts w:ascii="Times New Roman" w:eastAsia="MS Mincho" w:hAnsi="Times New Roman" w:cs="Times New Roman"/>
          <w:sz w:val="24"/>
          <w:szCs w:val="24"/>
          <w:lang w:eastAsia="ru-RU"/>
        </w:rPr>
        <w:t>»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осуществляется, в частности, экспертиза соответствия Проекта одному или нескольким из следующих параметров: </w:t>
      </w:r>
    </w:p>
    <w:p w:rsidR="00800C70" w:rsidRPr="00800C70" w:rsidRDefault="00800C70" w:rsidP="00550F8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наличие рынка для продукта;</w:t>
      </w:r>
    </w:p>
    <w:p w:rsidR="00800C70" w:rsidRPr="00800C70" w:rsidRDefault="00800C70" w:rsidP="00550F8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положительная динамика развития рынка;</w:t>
      </w:r>
    </w:p>
    <w:p w:rsidR="00800C70" w:rsidRPr="00800C70" w:rsidRDefault="00800C70" w:rsidP="00550F8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выпускаемая продукция имеет конкурентные преимущества относительно российских или зарубежных аналогов, представленных на рынке, или по своим технико-экономическим параметрам соответствует мировому уровню или превышает его;</w:t>
      </w:r>
    </w:p>
    <w:p w:rsidR="00800C70" w:rsidRPr="00800C70" w:rsidRDefault="00800C70" w:rsidP="00550F8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сбыт выпускаемой продукции направлен на замещение импорта на внутреннем рынке, в том числе отнесение продукта к категории импортозамещающих согласно отраслевым планам, утверждаемым федеральным органом исполнительной власти, уполномоченным Правительством РФ; </w:t>
      </w:r>
    </w:p>
    <w:p w:rsidR="00800C70" w:rsidRPr="00800C70" w:rsidRDefault="00800C70" w:rsidP="00550F8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сбыт выпускаемой продукции ориентирован на экспорт.</w:t>
      </w:r>
    </w:p>
    <w:p w:rsidR="00800C70" w:rsidRPr="00800C70" w:rsidRDefault="00800C70" w:rsidP="00800C70">
      <w:pPr>
        <w:shd w:val="clear" w:color="auto" w:fill="FFFFFF"/>
        <w:tabs>
          <w:tab w:val="left" w:pos="0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4.3. Для оценки соответствия проекта критерию </w:t>
      </w:r>
      <w:r w:rsidRPr="00800C70">
        <w:rPr>
          <w:rFonts w:ascii="Times New Roman" w:eastAsia="MS Mincho" w:hAnsi="Times New Roman" w:cs="Times New Roman"/>
          <w:sz w:val="24"/>
          <w:szCs w:val="24"/>
          <w:lang w:eastAsia="ru-RU"/>
        </w:rPr>
        <w:t>«</w:t>
      </w:r>
      <w:r w:rsidRPr="00800C70">
        <w:rPr>
          <w:rFonts w:ascii="Times New Roman" w:eastAsia="Calibri" w:hAnsi="Times New Roman" w:cs="Times New Roman"/>
          <w:sz w:val="24"/>
          <w:szCs w:val="24"/>
        </w:rPr>
        <w:t>Научно-техническая перспективность продукта и проекта, включая соответствие принципам наилучших доступных технологий</w:t>
      </w:r>
      <w:r w:rsidRPr="00800C70">
        <w:rPr>
          <w:rFonts w:ascii="Times New Roman" w:eastAsia="MS Mincho" w:hAnsi="Times New Roman" w:cs="Times New Roman"/>
          <w:sz w:val="24"/>
          <w:szCs w:val="24"/>
          <w:lang w:eastAsia="ru-RU"/>
        </w:rPr>
        <w:t>»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осуществляется, в частности, экспертиза соответствия Проекта одному или нескольким из следующих параметров:</w:t>
      </w:r>
    </w:p>
    <w:p w:rsidR="00800C70" w:rsidRPr="00800C70" w:rsidRDefault="00800C70" w:rsidP="003828B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отнесение внедряемых новых технологий к приоритетным направлениям развития науки, технологий и техники в Российской Федерации, в частности, соответствуют перечню критических технологий, утвержденному указом Президента Российской Федерации № 899 от 07.07.2011;</w:t>
      </w:r>
    </w:p>
    <w:p w:rsidR="00800C70" w:rsidRPr="00800C70" w:rsidRDefault="00800C70" w:rsidP="003828B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новизна технических решений относительно российского технического уровня; </w:t>
      </w:r>
    </w:p>
    <w:p w:rsidR="00800C70" w:rsidRPr="00800C70" w:rsidRDefault="00800C70" w:rsidP="003828B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отнесение получаемой в ходе реализации проекта продукции к промышленной продукции, не имеющей аналогов, производимых в Российской Федерации;</w:t>
      </w:r>
    </w:p>
    <w:p w:rsidR="00800C70" w:rsidRPr="00800C70" w:rsidRDefault="00800C70" w:rsidP="003828B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соответствие разработок и внедряемых технологий принципам наилучших доступных технологий, в том числе утвержденным информационно-технологическим справочникам по наилучшим доступным технологиям;</w:t>
      </w:r>
    </w:p>
    <w:p w:rsidR="00800C70" w:rsidRPr="00800C70" w:rsidRDefault="00800C70" w:rsidP="003828B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наличие у получаемой в ходе реализации проекта промышленной продукции потенциала импортозамещения;</w:t>
      </w:r>
    </w:p>
    <w:p w:rsidR="00800C70" w:rsidRPr="00800C70" w:rsidRDefault="00800C70" w:rsidP="003828B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техническая реализуемость проекта;</w:t>
      </w:r>
    </w:p>
    <w:p w:rsidR="00800C70" w:rsidRPr="00800C70" w:rsidRDefault="00800C70" w:rsidP="003828B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наличие научно-технического задела и подтверждение прав Заявителя на него.</w:t>
      </w:r>
    </w:p>
    <w:p w:rsidR="00800C70" w:rsidRPr="00800C70" w:rsidRDefault="00800C70" w:rsidP="00800C70">
      <w:pPr>
        <w:shd w:val="clear" w:color="auto" w:fill="FFFFFF"/>
        <w:tabs>
          <w:tab w:val="left" w:pos="0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4.4. Для оценки соответствия проекта критерию </w:t>
      </w:r>
      <w:r w:rsidRPr="00800C70">
        <w:rPr>
          <w:rFonts w:ascii="Times New Roman" w:eastAsia="MS Mincho" w:hAnsi="Times New Roman" w:cs="Times New Roman"/>
          <w:sz w:val="24"/>
          <w:szCs w:val="24"/>
          <w:lang w:eastAsia="ru-RU"/>
        </w:rPr>
        <w:t>«</w:t>
      </w:r>
      <w:r w:rsidRPr="00800C70">
        <w:rPr>
          <w:rFonts w:ascii="Times New Roman" w:eastAsia="Calibri" w:hAnsi="Times New Roman" w:cs="Times New Roman"/>
          <w:sz w:val="24"/>
          <w:szCs w:val="24"/>
        </w:rPr>
        <w:t>Производственная обоснованность проекта и стратегическая заинтересованность компании в его реализации</w:t>
      </w:r>
      <w:r w:rsidRPr="00800C70">
        <w:rPr>
          <w:rFonts w:ascii="Times New Roman" w:eastAsia="MS Mincho" w:hAnsi="Times New Roman" w:cs="Times New Roman"/>
          <w:sz w:val="24"/>
          <w:szCs w:val="24"/>
          <w:lang w:eastAsia="ru-RU"/>
        </w:rPr>
        <w:t>»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осуществляется, в частности, экспертиза по следующим параметрам: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наличие производственных активов на территории России для внедрения результатов или наличие соответствующих мероприятий по созданию активов и бюджета в бизнес-плане;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отсутствие критической зависимости проекта от импортного сырья или комплектующих; 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lastRenderedPageBreak/>
        <w:t>соответствие проекта основной деятельности компании и ее бизнес-стратегии, стратегическая важность проекта для компании, заинтересованность компании в его реализации;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наличие материально-технической базы для выполнения разработки у Заявителя; 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обоснованность графика и сроков мероприятий разработки нового продукта; 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обоснованность бюджета на разработку нового продукта;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наличие необходимых для разработки компетенций, профессиональная репутация проектной команды Заявителя.</w:t>
      </w:r>
    </w:p>
    <w:p w:rsidR="00800C70" w:rsidRPr="00800C70" w:rsidRDefault="00800C70" w:rsidP="00800C7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4.5. Для оценки соответствия проекта критерию </w:t>
      </w:r>
      <w:r w:rsidRPr="00800C70">
        <w:rPr>
          <w:rFonts w:ascii="Times New Roman" w:eastAsia="MS Mincho" w:hAnsi="Times New Roman" w:cs="Times New Roman"/>
          <w:sz w:val="24"/>
          <w:szCs w:val="24"/>
          <w:lang w:eastAsia="ru-RU"/>
        </w:rPr>
        <w:t>«</w:t>
      </w:r>
      <w:r w:rsidRPr="00800C70">
        <w:rPr>
          <w:rFonts w:ascii="Times New Roman" w:eastAsia="Calibri" w:hAnsi="Times New Roman" w:cs="Times New Roman"/>
          <w:sz w:val="24"/>
          <w:szCs w:val="24"/>
        </w:rPr>
        <w:t>Финансово-экономическая эффективность и устойчивость проекта</w:t>
      </w:r>
      <w:r w:rsidRPr="00800C70">
        <w:rPr>
          <w:rFonts w:ascii="Times New Roman" w:eastAsia="MS Mincho" w:hAnsi="Times New Roman" w:cs="Times New Roman"/>
          <w:sz w:val="24"/>
          <w:szCs w:val="24"/>
          <w:lang w:eastAsia="ru-RU"/>
        </w:rPr>
        <w:t>»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осуществляется, в частности, экспертиза финансовых ресурсов Заявителя по следующим параметрам: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обоснованность и достаточность планируемых финансовых ресурсов для реализации проекта;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наличие в полном объеме необходимых финансовых ресурсов для реализации всего проекта с учетом суммы займа и обоснования объемов софинансирования со стороны третьих лиц;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наличие в полном объеме необходимых финансовых ресурсов, достаточных для обслуживания и погашения займа Фонда Заявителем, в т.ч. за счет денежных потоков, генерируемых проектом, либо подтверждена возможность обслуживания займа Фонда за счет денежных потоков от текущей деятельности Заявителя;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сумма чистого дисконтированного денежного потока, генерируемого проектом (net present value, NPV), положительна;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бизнес-план содержит необходимую информацию с обоснованными оценками параметров, критических для достижения целей проекта, и не содержит внутренних противоречий.</w:t>
      </w:r>
    </w:p>
    <w:p w:rsidR="00800C70" w:rsidRPr="00800C70" w:rsidRDefault="00800C70" w:rsidP="00800C70">
      <w:pPr>
        <w:shd w:val="clear" w:color="auto" w:fill="FFFFFF"/>
        <w:tabs>
          <w:tab w:val="left" w:pos="0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4.6. Для оценки соответствия проекта критерию «Финансовая состоятельность Заявителя» осуществляется, в частности, экспертиза по следующим параметрам: текущее и прогнозируемое на срок займа финансовое положение Заявителя устойчиво с точки зрения достаточности активов и денежных потоков, отсутствуют признаки банкротства, определяемые в соответствии с законодательством Российской Федерации.</w:t>
      </w:r>
    </w:p>
    <w:p w:rsidR="00800C70" w:rsidRPr="00800C70" w:rsidRDefault="00800C70" w:rsidP="00800C70">
      <w:pPr>
        <w:shd w:val="clear" w:color="auto" w:fill="FFFFFF"/>
        <w:tabs>
          <w:tab w:val="left" w:pos="0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4.7. Для оценки соответствия проекта критерию «Обеспечение возврата займа» осуществляется экспертиза на соответствие предоставленного Заявителем обеспечения возврата займа требованиям Положения Фонда № ПФ-02-2017, предъявляемым к качеству и достаточности обеспечения.</w:t>
      </w:r>
    </w:p>
    <w:p w:rsidR="00800C70" w:rsidRPr="00800C70" w:rsidRDefault="00800C70" w:rsidP="00800C70">
      <w:pPr>
        <w:shd w:val="clear" w:color="auto" w:fill="FFFFFF"/>
        <w:tabs>
          <w:tab w:val="left" w:pos="0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4.8. Для оценки соответствия проекта критерию </w:t>
      </w:r>
      <w:r w:rsidRPr="00800C70">
        <w:rPr>
          <w:rFonts w:ascii="Times New Roman" w:eastAsia="MS Mincho" w:hAnsi="Times New Roman" w:cs="Times New Roman"/>
          <w:sz w:val="24"/>
          <w:szCs w:val="24"/>
          <w:lang w:eastAsia="ru-RU"/>
        </w:rPr>
        <w:t>«</w:t>
      </w:r>
      <w:r w:rsidRPr="00800C70">
        <w:rPr>
          <w:rFonts w:ascii="Times New Roman" w:eastAsia="Calibri" w:hAnsi="Times New Roman" w:cs="Times New Roman"/>
          <w:sz w:val="24"/>
          <w:szCs w:val="24"/>
        </w:rPr>
        <w:t>Юридическая состоятельность Заявителя, лиц, предоставивших обеспечение и схемы реализации проекта</w:t>
      </w:r>
      <w:r w:rsidRPr="00800C70">
        <w:rPr>
          <w:rFonts w:ascii="Times New Roman" w:eastAsia="MS Mincho" w:hAnsi="Times New Roman" w:cs="Times New Roman"/>
          <w:sz w:val="24"/>
          <w:szCs w:val="24"/>
          <w:lang w:eastAsia="ru-RU"/>
        </w:rPr>
        <w:t>»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осуществляется, в частности, экспертиза по следующим параметрам:</w:t>
      </w:r>
    </w:p>
    <w:p w:rsidR="00800C70" w:rsidRPr="00800C70" w:rsidRDefault="00800C70" w:rsidP="003B532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соответствие учредительных документов Заявителя, лиц, предоставивших обеспечение, действующему законодательству;</w:t>
      </w:r>
    </w:p>
    <w:p w:rsidR="00800C70" w:rsidRPr="00800C70" w:rsidRDefault="00800C70" w:rsidP="003B532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соответствие схемы предполагаемых сделок по проекту действующему законодательству, включая отсутствие расчетов, проводимых с использованием средств целевого финансирования Фонда, через кондуитные компании, зарегистрированные в низконалоговых юрисдикциях, или с целью перечисления средств займа бенефициарным владельцам;</w:t>
      </w:r>
    </w:p>
    <w:p w:rsidR="00800C70" w:rsidRPr="00800C70" w:rsidRDefault="00800C70" w:rsidP="003B532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прозрачность состава участников (акционеров) / бенефициарных владельцев Заявителя, лиц, предоставивших обеспечение;</w:t>
      </w:r>
    </w:p>
    <w:p w:rsidR="00800C70" w:rsidRPr="00800C70" w:rsidRDefault="00800C70" w:rsidP="003B532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отсутствие открытых судебных разбирательств или неурегулированных требований, прямо влияющих на реализацию проекта (включая разбирательства с кредитными организациями или институтами развития), или в объеме, превышающем 10% </w:t>
      </w:r>
      <w:r w:rsidRPr="00800C70">
        <w:rPr>
          <w:rFonts w:ascii="Times New Roman" w:eastAsia="Calibri" w:hAnsi="Times New Roman" w:cs="Times New Roman"/>
          <w:sz w:val="24"/>
          <w:szCs w:val="24"/>
        </w:rPr>
        <w:lastRenderedPageBreak/>
        <w:t>от стоимости балансовых активов Заявителя / лиц, предоставивших обеспечение;</w:t>
      </w:r>
    </w:p>
    <w:p w:rsidR="00800C70" w:rsidRPr="00800C70" w:rsidRDefault="00800C70" w:rsidP="003B532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отсутствие процедуры банкротства, ликвидации, реорганизации (за исключением реорганизации в форме преобразования, присоединения, слияния) Заявителя, лиц, предоставивших обеспечение (за исключением реорганизации институтов развития и кредитных организаций, предоставивших гарантии/поручительства, а также третьих лиц, предоставивших в залог имущество);</w:t>
      </w:r>
    </w:p>
    <w:p w:rsidR="00800C70" w:rsidRPr="00800C70" w:rsidRDefault="00800C70" w:rsidP="003B532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наличие полномочий представителей сторон к совершению предполагаемой сделки Заявителя, лиц, предоставивших обеспечение.</w:t>
      </w:r>
    </w:p>
    <w:p w:rsidR="00800C70" w:rsidRPr="00800C70" w:rsidRDefault="00800C70" w:rsidP="00800C70">
      <w:pPr>
        <w:shd w:val="clear" w:color="auto" w:fill="FFFFFF"/>
        <w:tabs>
          <w:tab w:val="left" w:pos="0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4.9.</w:t>
      </w:r>
      <w:r w:rsidRPr="00800C70">
        <w:rPr>
          <w:rFonts w:ascii="Arial" w:eastAsia="Calibri" w:hAnsi="Arial" w:cs="Arial"/>
          <w:sz w:val="24"/>
          <w:szCs w:val="24"/>
        </w:rPr>
        <w:t xml:space="preserve"> </w:t>
      </w:r>
      <w:r w:rsidRPr="00800C70">
        <w:rPr>
          <w:rFonts w:ascii="Times New Roman" w:eastAsia="Calibri" w:hAnsi="Times New Roman" w:cs="Times New Roman"/>
          <w:sz w:val="24"/>
          <w:szCs w:val="24"/>
        </w:rPr>
        <w:t>В случае привлечения для реализации проекта ключевого исполнителя Фонд осуществляет оценку соответствия такого лица требованиям к ключевому исполнителю.</w:t>
      </w:r>
    </w:p>
    <w:p w:rsidR="00800C70" w:rsidRPr="00800C70" w:rsidRDefault="00800C70" w:rsidP="00800C70">
      <w:pPr>
        <w:shd w:val="clear" w:color="auto" w:fill="FFFFFF"/>
        <w:tabs>
          <w:tab w:val="left" w:pos="0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Для оценки соответствия проекта критерию </w:t>
      </w:r>
      <w:r w:rsidRPr="00800C70">
        <w:rPr>
          <w:rFonts w:ascii="Times New Roman" w:eastAsia="MS Mincho" w:hAnsi="Times New Roman" w:cs="Times New Roman"/>
          <w:sz w:val="24"/>
          <w:szCs w:val="24"/>
          <w:lang w:eastAsia="ru-RU"/>
        </w:rPr>
        <w:t>«</w:t>
      </w:r>
      <w:r w:rsidRPr="00800C70">
        <w:rPr>
          <w:rFonts w:ascii="Times New Roman" w:eastAsia="Calibri" w:hAnsi="Times New Roman" w:cs="Times New Roman"/>
          <w:sz w:val="24"/>
          <w:szCs w:val="24"/>
        </w:rPr>
        <w:t>Производственная обоснованность привлечения ключевого исполнителя</w:t>
      </w:r>
      <w:r w:rsidRPr="00800C70">
        <w:rPr>
          <w:rFonts w:ascii="Times New Roman" w:eastAsia="MS Mincho" w:hAnsi="Times New Roman" w:cs="Times New Roman"/>
          <w:sz w:val="24"/>
          <w:szCs w:val="24"/>
          <w:lang w:eastAsia="ru-RU"/>
        </w:rPr>
        <w:t>»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осуществляется, в частности, экспертиза по следующим параметрам: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наличие производственных активов и материально-технической базы у ключевого исполнителя;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соответствие выполняемых работ по проекту основной деятельности компании;</w:t>
      </w:r>
    </w:p>
    <w:p w:rsidR="00800C70" w:rsidRPr="00800C70" w:rsidRDefault="00800C70" w:rsidP="003B532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обоснованность бюджета;</w:t>
      </w:r>
    </w:p>
    <w:p w:rsidR="00800C70" w:rsidRPr="00800C70" w:rsidRDefault="00800C70" w:rsidP="003B532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наличие необходимых для разработки компетенций, профессиональная репутация ключевого исполнителя</w:t>
      </w:r>
      <w:r w:rsidRPr="00800C70">
        <w:rPr>
          <w:rFonts w:ascii="Arial" w:eastAsia="Calibri" w:hAnsi="Arial" w:cs="Arial"/>
          <w:sz w:val="24"/>
          <w:szCs w:val="24"/>
        </w:rPr>
        <w:t>.</w:t>
      </w:r>
    </w:p>
    <w:p w:rsidR="00800C70" w:rsidRPr="00800C70" w:rsidRDefault="00800C70" w:rsidP="003B5323">
      <w:pPr>
        <w:widowControl w:val="0"/>
        <w:tabs>
          <w:tab w:val="left" w:pos="993"/>
          <w:tab w:val="left" w:pos="1134"/>
        </w:tabs>
        <w:spacing w:before="120"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 w:bidi="ru-RU"/>
        </w:rPr>
      </w:pPr>
      <w:r w:rsidRPr="00800C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Для оценки соответствия проекта критерию </w:t>
      </w:r>
      <w:r w:rsidRPr="00800C70">
        <w:rPr>
          <w:rFonts w:ascii="Times New Roman" w:eastAsia="MS Mincho" w:hAnsi="Times New Roman" w:cs="Times New Roman"/>
          <w:sz w:val="24"/>
          <w:szCs w:val="24"/>
          <w:lang w:eastAsia="ru-RU" w:bidi="ru-RU"/>
        </w:rPr>
        <w:t>«</w:t>
      </w:r>
      <w:r w:rsidRPr="00800C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Юридическая состоятельность ключевого исполнителя</w:t>
      </w:r>
      <w:r w:rsidRPr="00800C70">
        <w:rPr>
          <w:rFonts w:ascii="Times New Roman" w:eastAsia="MS Mincho" w:hAnsi="Times New Roman" w:cs="Times New Roman"/>
          <w:sz w:val="24"/>
          <w:szCs w:val="24"/>
          <w:lang w:eastAsia="ru-RU" w:bidi="ru-RU"/>
        </w:rPr>
        <w:t xml:space="preserve">» </w:t>
      </w:r>
      <w:r w:rsidRPr="00800C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осуществляется, в частности, экспертиза по следующим параметрам:</w:t>
      </w:r>
    </w:p>
    <w:p w:rsidR="00800C70" w:rsidRPr="00800C70" w:rsidRDefault="00800C70" w:rsidP="003B5323">
      <w:pPr>
        <w:widowControl w:val="0"/>
        <w:numPr>
          <w:ilvl w:val="0"/>
          <w:numId w:val="3"/>
        </w:numPr>
        <w:tabs>
          <w:tab w:val="left" w:pos="993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соответствие учредительных документов ключевого исполнителя действующему законодательству и деятельности по проекту;</w:t>
      </w:r>
    </w:p>
    <w:p w:rsidR="00800C70" w:rsidRPr="00800C70" w:rsidRDefault="00800C70" w:rsidP="003B5323">
      <w:pPr>
        <w:widowControl w:val="0"/>
        <w:numPr>
          <w:ilvl w:val="0"/>
          <w:numId w:val="3"/>
        </w:numPr>
        <w:tabs>
          <w:tab w:val="left" w:pos="993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прозрачность состава участников (акционеров) / бенефициарных владельцев ключевого исполнителя;</w:t>
      </w:r>
    </w:p>
    <w:p w:rsidR="00800C70" w:rsidRPr="00800C70" w:rsidRDefault="00800C70" w:rsidP="003B5323">
      <w:pPr>
        <w:widowControl w:val="0"/>
        <w:numPr>
          <w:ilvl w:val="0"/>
          <w:numId w:val="3"/>
        </w:numPr>
        <w:tabs>
          <w:tab w:val="left" w:pos="993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отсутствие открытых судебных разбирательств или неурегулированных требований, прямо влияющих на реализацию проекта, с участием ключевого исполнителя;</w:t>
      </w:r>
    </w:p>
    <w:p w:rsidR="00800C70" w:rsidRPr="00800C70" w:rsidRDefault="00800C70" w:rsidP="003B5323">
      <w:pPr>
        <w:widowControl w:val="0"/>
        <w:numPr>
          <w:ilvl w:val="0"/>
          <w:numId w:val="3"/>
        </w:numPr>
        <w:tabs>
          <w:tab w:val="left" w:pos="993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отсутствие процедуры банкротства, ликвидации ключевого исполнителя;</w:t>
      </w:r>
    </w:p>
    <w:p w:rsidR="00800C70" w:rsidRPr="00800C70" w:rsidRDefault="00800C70" w:rsidP="003B5323">
      <w:pPr>
        <w:widowControl w:val="0"/>
        <w:numPr>
          <w:ilvl w:val="0"/>
          <w:numId w:val="3"/>
        </w:numPr>
        <w:tabs>
          <w:tab w:val="left" w:pos="993"/>
          <w:tab w:val="left" w:pos="184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соответствие схемы предполагаемых сделок с Заявителем по проекту действующему законодательству, включая отсутствие расчетов, проводимых с использованием средств целевого финансирования Фонда, через кондуитные компании, зарегистрированные в низконалоговых юрисдикциях, или с целью перечисления средств займа бенефициарным владельцам.</w:t>
      </w:r>
    </w:p>
    <w:p w:rsidR="00800C70" w:rsidRPr="00800C70" w:rsidRDefault="00800C70" w:rsidP="00800C70">
      <w:pPr>
        <w:shd w:val="clear" w:color="auto" w:fill="FFFFFF"/>
        <w:tabs>
          <w:tab w:val="left" w:pos="0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4.10. Для целей </w:t>
      </w:r>
      <w:r w:rsidR="00173495">
        <w:rPr>
          <w:rFonts w:ascii="Times New Roman" w:eastAsia="Calibri" w:hAnsi="Times New Roman" w:cs="Times New Roman"/>
          <w:sz w:val="24"/>
          <w:szCs w:val="24"/>
        </w:rPr>
        <w:t>финансовой поддержки Фондом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идентификация бенефициарных владельцев не проводится в отношении лиц, являющихся:</w:t>
      </w:r>
    </w:p>
    <w:p w:rsidR="00800C70" w:rsidRPr="00800C70" w:rsidRDefault="00800C70" w:rsidP="003B5323">
      <w:pPr>
        <w:numPr>
          <w:ilvl w:val="0"/>
          <w:numId w:val="3"/>
        </w:numPr>
        <w:shd w:val="clear" w:color="auto" w:fill="FFFFFF"/>
        <w:tabs>
          <w:tab w:val="left" w:pos="99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государственными корпорациями или организациями, в которых Российская Федерация, субъекты Российской Федерации либо муниципальные образования имеют более 50 процентов акций (долей) в капитале;</w:t>
      </w:r>
    </w:p>
    <w:p w:rsidR="00800C70" w:rsidRPr="00800C70" w:rsidRDefault="00800C70" w:rsidP="003B5323">
      <w:pPr>
        <w:numPr>
          <w:ilvl w:val="0"/>
          <w:numId w:val="3"/>
        </w:numPr>
        <w:shd w:val="clear" w:color="auto" w:fill="FFFFFF"/>
        <w:tabs>
          <w:tab w:val="left" w:pos="99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эмитентами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бумагах;</w:t>
      </w:r>
    </w:p>
    <w:p w:rsidR="00800C70" w:rsidRPr="00800C70" w:rsidRDefault="00800C70" w:rsidP="003B5323">
      <w:pPr>
        <w:numPr>
          <w:ilvl w:val="0"/>
          <w:numId w:val="3"/>
        </w:numPr>
        <w:shd w:val="clear" w:color="auto" w:fill="FFFFFF"/>
        <w:tabs>
          <w:tab w:val="left" w:pos="99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дочерними или контролируемыми обществами иностранных организаций, ценные бумаги которых прошли процедуру листинга на иностранной бирже, входящей в перечень, утвержденный Банком России,</w:t>
      </w:r>
      <w:r w:rsidRPr="00800C70">
        <w:rPr>
          <w:rFonts w:ascii="Times New Roman" w:eastAsia="Calibri" w:hAnsi="Times New Roman" w:cs="Times New Roman"/>
          <w:sz w:val="20"/>
          <w:szCs w:val="24"/>
          <w:vertAlign w:val="superscript"/>
        </w:rPr>
        <w:footnoteReference w:id="1"/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либо раскрывающими информацию о владельцах на общедоступных ресурсах на ином основании;</w:t>
      </w:r>
    </w:p>
    <w:p w:rsidR="00800C70" w:rsidRPr="00800C70" w:rsidRDefault="00800C70" w:rsidP="003B5323">
      <w:pPr>
        <w:numPr>
          <w:ilvl w:val="0"/>
          <w:numId w:val="3"/>
        </w:numPr>
        <w:shd w:val="clear" w:color="auto" w:fill="FFFFFF"/>
        <w:tabs>
          <w:tab w:val="left" w:pos="99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lastRenderedPageBreak/>
        <w:t>дочерними обществами иностранных структур, организационная форма которых не предусматривает наличия бенефициарного владельца.</w:t>
      </w:r>
    </w:p>
    <w:p w:rsidR="00800C70" w:rsidRPr="00800C70" w:rsidRDefault="00800C70" w:rsidP="00800C70">
      <w:pPr>
        <w:shd w:val="clear" w:color="auto" w:fill="FFFFFF"/>
        <w:tabs>
          <w:tab w:val="left" w:pos="0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4.11. Для целей </w:t>
      </w:r>
      <w:r w:rsidR="00FA4EAD">
        <w:rPr>
          <w:rFonts w:ascii="Times New Roman" w:eastAsia="Calibri" w:hAnsi="Times New Roman" w:cs="Times New Roman"/>
          <w:sz w:val="24"/>
          <w:szCs w:val="24"/>
        </w:rPr>
        <w:t>финансирования Фондом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под низконалоговой юрисдикцией понимается территория, включенная в Перечень государств и территорий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(утв. Приказом Министерства финансов Российской Федерации от 13 ноября 2007 № 108н) или иной аналогичный документ, действующий на дату проведения экспертизы.</w:t>
      </w:r>
    </w:p>
    <w:p w:rsidR="00800C70" w:rsidRPr="00800C70" w:rsidRDefault="00800C70" w:rsidP="00800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Для целей </w:t>
      </w:r>
      <w:r w:rsidR="00FA4EAD">
        <w:rPr>
          <w:rFonts w:ascii="Times New Roman" w:eastAsia="Calibri" w:hAnsi="Times New Roman" w:cs="Times New Roman"/>
          <w:sz w:val="24"/>
          <w:szCs w:val="24"/>
        </w:rPr>
        <w:t>финансирования Фондом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кондуитные компании определяются с учетом официальных разъяснений Министерства финансов Российской Федерации в качестве компетентного органа по применению действующих соглашений об избежании двойного налогообложения.</w:t>
      </w:r>
      <w:r w:rsidRPr="00800C70">
        <w:rPr>
          <w:rFonts w:ascii="Times New Roman" w:eastAsia="Calibri" w:hAnsi="Times New Roman" w:cs="Times New Roman"/>
          <w:sz w:val="20"/>
          <w:szCs w:val="24"/>
          <w:vertAlign w:val="superscript"/>
        </w:rPr>
        <w:footnoteReference w:id="2"/>
      </w:r>
    </w:p>
    <w:p w:rsidR="00800C70" w:rsidRPr="00800C70" w:rsidRDefault="00800C70" w:rsidP="00800C70">
      <w:pPr>
        <w:keepNext/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360" w:after="6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4"/>
          <w:lang w:eastAsia="ru-RU"/>
        </w:rPr>
      </w:pPr>
      <w:bookmarkStart w:id="14" w:name="_Toc472350697"/>
      <w:bookmarkStart w:id="15" w:name="_Toc424117595"/>
      <w:bookmarkStart w:id="16" w:name="_Toc437460694"/>
      <w:r w:rsidRPr="00800C70">
        <w:rPr>
          <w:rFonts w:ascii="Times New Roman" w:eastAsia="Times New Roman" w:hAnsi="Times New Roman" w:cs="Times New Roman"/>
          <w:b/>
          <w:bCs/>
          <w:kern w:val="28"/>
          <w:sz w:val="28"/>
          <w:szCs w:val="24"/>
          <w:lang w:eastAsia="ru-RU"/>
        </w:rPr>
        <w:t>Направления целевого использования средств финансирования проекта</w:t>
      </w:r>
      <w:bookmarkEnd w:id="14"/>
      <w:bookmarkEnd w:id="15"/>
      <w:bookmarkEnd w:id="16"/>
    </w:p>
    <w:p w:rsidR="00800C70" w:rsidRPr="00800C70" w:rsidRDefault="00800C70" w:rsidP="00800C70">
      <w:pPr>
        <w:tabs>
          <w:tab w:val="left" w:pos="0"/>
          <w:tab w:val="left" w:pos="1134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5.1. Средства, полученные для финансирования проекта со стороны Фонда, могут быть направлены на реализацию следующих мероприятий: </w:t>
      </w:r>
    </w:p>
    <w:p w:rsidR="00800C70" w:rsidRPr="00800C70" w:rsidRDefault="00800C70" w:rsidP="00800C70">
      <w:pPr>
        <w:shd w:val="clear" w:color="auto" w:fill="FFFFFF"/>
        <w:tabs>
          <w:tab w:val="left" w:pos="0"/>
          <w:tab w:val="left" w:pos="916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5.1.1. Разработка нового продукта/технологии, включая:</w:t>
      </w:r>
    </w:p>
    <w:p w:rsidR="00800C70" w:rsidRPr="00800C70" w:rsidRDefault="00800C70" w:rsidP="00FA4EA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C70">
        <w:rPr>
          <w:rFonts w:ascii="Times New Roman" w:eastAsia="Times New Roman" w:hAnsi="Times New Roman" w:cs="Times New Roman"/>
          <w:sz w:val="24"/>
          <w:szCs w:val="24"/>
        </w:rPr>
        <w:t>опытно-конструкторские и опытно-технологические работы;</w:t>
      </w:r>
    </w:p>
    <w:p w:rsidR="00800C70" w:rsidRPr="00800C70" w:rsidRDefault="00800C70" w:rsidP="00FA4EA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C70">
        <w:rPr>
          <w:rFonts w:ascii="Times New Roman" w:eastAsia="Times New Roman" w:hAnsi="Times New Roman" w:cs="Times New Roman"/>
          <w:sz w:val="24"/>
          <w:szCs w:val="24"/>
        </w:rPr>
        <w:t xml:space="preserve">технические, производственно-технологические, маркетинговые тестирования и испытания; </w:t>
      </w:r>
    </w:p>
    <w:p w:rsidR="00800C70" w:rsidRPr="00800C70" w:rsidRDefault="00800C70" w:rsidP="00FA4EA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C70">
        <w:rPr>
          <w:rFonts w:ascii="Times New Roman" w:eastAsia="Times New Roman" w:hAnsi="Times New Roman" w:cs="Times New Roman"/>
          <w:sz w:val="24"/>
          <w:szCs w:val="24"/>
        </w:rPr>
        <w:t>проведение патентных исследований (на патентную чистоту, выявление охраноспособных решений и др.), патентование разработанных решений, в т.ч. зарубежное патентование;</w:t>
      </w:r>
    </w:p>
    <w:p w:rsidR="00800C70" w:rsidRPr="00800C70" w:rsidRDefault="00800C70" w:rsidP="00FA4EA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C70">
        <w:rPr>
          <w:rFonts w:ascii="Times New Roman" w:eastAsia="Times New Roman" w:hAnsi="Times New Roman" w:cs="Times New Roman"/>
          <w:sz w:val="24"/>
          <w:szCs w:val="24"/>
        </w:rPr>
        <w:t xml:space="preserve">сертификация, клинические испытания (клинические исследования) и другие обязательные для вывода продукта на рынок контрольно-сертификационные процедуры, а также </w:t>
      </w:r>
      <w:r w:rsidRPr="00800C70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зарубежные клинические исследования и испытания фармацевтической и медицинской продукции</w:t>
      </w:r>
      <w:r w:rsidRPr="00800C7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00C70" w:rsidRPr="00800C70" w:rsidRDefault="00800C70" w:rsidP="00FA4EAD">
      <w:pPr>
        <w:widowControl w:val="0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C70">
        <w:rPr>
          <w:rFonts w:ascii="Times New Roman" w:eastAsia="Times New Roman" w:hAnsi="Times New Roman" w:cs="Times New Roman"/>
          <w:sz w:val="24"/>
          <w:szCs w:val="24"/>
        </w:rPr>
        <w:t>приобретение расходных материалов для проведения мероприятий по настоящему разделу, в том числе, сырья и ресурсов для выпуска опытных, опытно-промышленных партий, испытаний оборудования и технологии до запуска в серийное производство – в объеме до 20% от суммы займа.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5.1.2. Приобретение или использование специального оборудования для проведения необходимых опытно-конструкторских работ и отработки технологии, включая создание опытно-промышленных установок.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5.1.3. Разработка технико-экономического обоснования инвестиционной стадии проекта, прединвестиционный анализ и оптимизация проекта, не включая расходы на аналитические исследования рынка. Сертификация и внедрение новых методов эффективной организации производства (</w:t>
      </w:r>
      <w:r w:rsidRPr="00800C70">
        <w:rPr>
          <w:rFonts w:ascii="Times New Roman" w:eastAsia="Calibri" w:hAnsi="Times New Roman" w:cs="Times New Roman"/>
          <w:sz w:val="24"/>
          <w:szCs w:val="24"/>
          <w:lang w:val="en-US"/>
        </w:rPr>
        <w:t>ISO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9000, </w:t>
      </w:r>
      <w:r w:rsidRPr="00800C70">
        <w:rPr>
          <w:rFonts w:ascii="Times New Roman" w:eastAsia="Calibri" w:hAnsi="Times New Roman" w:cs="Times New Roman"/>
          <w:sz w:val="24"/>
          <w:szCs w:val="24"/>
          <w:lang w:val="en-US"/>
        </w:rPr>
        <w:t>LEAN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и пр.).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5.1.4. Приобретение прав на результаты интеллектуальной деятельности (лицензий и патентов) у российских или иностранных правообладателей.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5.1.5. Инжиниринг:</w:t>
      </w:r>
    </w:p>
    <w:p w:rsidR="00800C70" w:rsidRPr="00800C70" w:rsidRDefault="00800C70" w:rsidP="00FA4EA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C70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обеспечение необходимой адаптации технологического оборудования и инженерных коммуникаций, включая разработку технической документации, для обеспечения внедрения результатов разработок в серийное производство;</w:t>
      </w:r>
    </w:p>
    <w:p w:rsidR="00800C70" w:rsidRPr="00800C70" w:rsidRDefault="00800C70" w:rsidP="00FA4EA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C70">
        <w:rPr>
          <w:rFonts w:ascii="Times New Roman" w:eastAsia="Times New Roman" w:hAnsi="Times New Roman" w:cs="Times New Roman"/>
          <w:sz w:val="24"/>
          <w:szCs w:val="24"/>
        </w:rPr>
        <w:t>проектно-изыскательские работы, сбор исходных данных, разработка концепции строительства/ремонта зданий, сооружений, коммуникаций для организации производства;</w:t>
      </w:r>
    </w:p>
    <w:p w:rsidR="00800C70" w:rsidRPr="00800C70" w:rsidRDefault="00800C70" w:rsidP="00FA4EA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C70">
        <w:rPr>
          <w:rFonts w:ascii="Times New Roman" w:eastAsia="Times New Roman" w:hAnsi="Times New Roman" w:cs="Times New Roman"/>
          <w:sz w:val="24"/>
          <w:szCs w:val="24"/>
        </w:rPr>
        <w:t>разработка проектной документации для объектов капитального строительства, включая проведение экологической и иных необходимых экспертиз, получение необходимых заключений санитарно-эпидемиологической, пожарной и др. служб, подготовку и получение разрешения на осуществление градостроительной деятельности.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5.1.6. Приобретение в собственность</w:t>
      </w:r>
      <w:r w:rsidRPr="00800C70">
        <w:rPr>
          <w:rFonts w:ascii="Times New Roman" w:eastAsia="Calibri" w:hAnsi="Times New Roman" w:cs="Times New Roman"/>
          <w:sz w:val="20"/>
          <w:szCs w:val="24"/>
          <w:vertAlign w:val="superscript"/>
        </w:rPr>
        <w:footnoteReference w:id="3"/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для целей технологического перевооружения и модернизации производства российского и/или импортного промышленного оборудования, а также его монтаж, наладка и иные мероприятия по его подготовке для серийного производства.</w:t>
      </w:r>
    </w:p>
    <w:p w:rsidR="00800C70" w:rsidRPr="00800C70" w:rsidRDefault="00800C70" w:rsidP="00800C70">
      <w:pPr>
        <w:shd w:val="clear" w:color="auto" w:fill="FFFFFF"/>
        <w:tabs>
          <w:tab w:val="left" w:pos="0"/>
          <w:tab w:val="left" w:pos="916"/>
          <w:tab w:val="left" w:pos="127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5.1.7. Общехозяйственные расходы по проекту – затраты на выполнение функций управления и обслуживания подразделений, реализующих проект - в объеме не более 15% от суммы займа: </w:t>
      </w:r>
    </w:p>
    <w:p w:rsidR="00800C70" w:rsidRPr="00800C70" w:rsidRDefault="00800C70" w:rsidP="00FA4EAD">
      <w:pPr>
        <w:numPr>
          <w:ilvl w:val="0"/>
          <w:numId w:val="3"/>
        </w:numPr>
        <w:shd w:val="clear" w:color="auto" w:fill="FFFFFF"/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расходы на оплату труда административно-управленческого и вспомогательного персонала (дирекция, бухгалтерия, хозяйственный отдел и т.д.) и установленные законодательством начисления на указанные выплаты;</w:t>
      </w:r>
    </w:p>
    <w:p w:rsidR="00800C70" w:rsidRPr="00800C70" w:rsidRDefault="00800C70" w:rsidP="00FA4EAD">
      <w:pPr>
        <w:numPr>
          <w:ilvl w:val="0"/>
          <w:numId w:val="3"/>
        </w:numPr>
        <w:shd w:val="clear" w:color="auto" w:fill="FFFFFF"/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командировочные и транспортные расходы проектной команды (стоимость проезда и проживания);</w:t>
      </w:r>
    </w:p>
    <w:p w:rsidR="00800C70" w:rsidRPr="00800C70" w:rsidRDefault="00800C70" w:rsidP="00FA4EAD">
      <w:pPr>
        <w:numPr>
          <w:ilvl w:val="0"/>
          <w:numId w:val="3"/>
        </w:numPr>
        <w:shd w:val="clear" w:color="auto" w:fill="FFFFFF"/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арендная плата за используемое в проекте имущество общехозяйственного назначения (помещения, а также движимое имущество) и расходы по оплате услуг по его содержанию (уборка снега, мусора, вывоз твердых бытовых отходов, дезинфекция, дезинсекция, дератизация, ремонт основных средств), оплата коммунальных услуг (отопления, горячего и холодного водоснабжения и водоотведения, предоставления газа и электроэнергии), потребленных на общехозяйственные нужды;</w:t>
      </w:r>
    </w:p>
    <w:p w:rsidR="00800C70" w:rsidRPr="00800C70" w:rsidRDefault="00800C70" w:rsidP="00FA4EAD">
      <w:pPr>
        <w:numPr>
          <w:ilvl w:val="0"/>
          <w:numId w:val="3"/>
        </w:numPr>
        <w:shd w:val="clear" w:color="auto" w:fill="FFFFFF"/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затраты на охрану труда и противопожарные мероприятия, расходы на оплату услуг охраны, услуг по хранению имущества;</w:t>
      </w:r>
    </w:p>
    <w:p w:rsidR="00800C70" w:rsidRPr="00800C70" w:rsidRDefault="00800C70" w:rsidP="00FA4EAD">
      <w:pPr>
        <w:numPr>
          <w:ilvl w:val="0"/>
          <w:numId w:val="3"/>
        </w:numPr>
        <w:shd w:val="clear" w:color="auto" w:fill="FFFFFF"/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расходы на маркетинговое продвижение продукта; </w:t>
      </w:r>
    </w:p>
    <w:p w:rsidR="00800C70" w:rsidRPr="00800C70" w:rsidRDefault="00800C70" w:rsidP="00FA4EAD">
      <w:pPr>
        <w:numPr>
          <w:ilvl w:val="0"/>
          <w:numId w:val="3"/>
        </w:numPr>
        <w:shd w:val="clear" w:color="auto" w:fill="FFFFFF"/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расходы по оплате информационных, аудиторских, консультационных и т.п. услуг, услуг связи, комиссий банков;</w:t>
      </w:r>
    </w:p>
    <w:p w:rsidR="00800C70" w:rsidRPr="00800C70" w:rsidRDefault="00800C70" w:rsidP="00FA4EAD">
      <w:pPr>
        <w:numPr>
          <w:ilvl w:val="0"/>
          <w:numId w:val="3"/>
        </w:numPr>
        <w:shd w:val="clear" w:color="auto" w:fill="FFFFFF"/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приобретение расходных материалов для оргтехники, бумаги и канцелярских принадлежностей, хозяйственного инвентаря;</w:t>
      </w:r>
    </w:p>
    <w:p w:rsidR="00800C70" w:rsidRPr="00800C70" w:rsidRDefault="00800C70" w:rsidP="00FA4EAD">
      <w:pPr>
        <w:numPr>
          <w:ilvl w:val="0"/>
          <w:numId w:val="3"/>
        </w:numPr>
        <w:shd w:val="clear" w:color="auto" w:fill="FFFFFF"/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уплата налогов (на имущество, транспортного, земельного) и государственной пошлины в отношении имущества, используемого в проекте, и другие аналогичные по назначению управленческие расходы.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5.2. Денежные средства, предоставленные Заявителю Фондом по договору займа, могут быть использованы исключительно на цели финансирования проекта и расходоваться на оплату труда, приобретение товаров, работ, услуг, а также уплату связанных с ними налогов и иных обязательных платежей. 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Приобретение товаров, работ, услуг по ранее заключенным договорам с третьими лицами может быть оплачено за счет средств займа, в случае если завершение исполнения таких договоров приходится на период после принятия решения о финансировании Проекта и при соблюдении условий о софинансировании проекта, установленных в статье 3.  </w:t>
      </w:r>
    </w:p>
    <w:p w:rsidR="00800C70" w:rsidRPr="00800C70" w:rsidRDefault="00800C70" w:rsidP="00800C7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Средства, полученные для финансирования проекта со стороны Фонда, не могут быть направлены на реализацию следующих мероприятий: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993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lastRenderedPageBreak/>
        <w:t>строительство или капитальный ремонт зданий, сооружений, коммуникаций для организации производства или общехозяйственного назначения;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993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приобретение сырья и ресурсов для выпуска промышленных партий продукции;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0"/>
          <w:tab w:val="left" w:pos="993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рефинансирование заемных средств и погашение кредиторской задолженности и иных обязательств, возникших до даты предоставления Займа, за исключением случаев, прямо предусмотренных </w:t>
      </w:r>
      <w:r w:rsidR="00800482">
        <w:rPr>
          <w:rFonts w:ascii="Times New Roman" w:eastAsia="Calibri" w:hAnsi="Times New Roman" w:cs="Times New Roman"/>
          <w:sz w:val="24"/>
          <w:szCs w:val="24"/>
        </w:rPr>
        <w:t>Положениями Фонда</w:t>
      </w:r>
      <w:r w:rsidRPr="00800C7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00C70" w:rsidRPr="00800C70" w:rsidRDefault="00800C70" w:rsidP="003B5323">
      <w:pPr>
        <w:numPr>
          <w:ilvl w:val="0"/>
          <w:numId w:val="3"/>
        </w:numPr>
        <w:tabs>
          <w:tab w:val="left" w:pos="0"/>
          <w:tab w:val="left" w:pos="993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уплата процентов по заемным средствам, в том числе по Займу, предоставленному Фондом для финансирования проекта. 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5.3. Перераспределение средств займа между направлениями целевого использования в рамках проекта в размере суммарно (за весь период пользования займом) превышающем 10% от суммы, предусмотренной сметой проекта по соответствующему направлению целевого использования, без увеличения итоговой суммы сметы, возможно при условии обоснования изменений Заявителем и получения согласования со стороны Фонда с проведением повторной производственно-технологической и финансово-экономической экспертиз.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5.4. Оплата приобретаемых товаров (работ, услуг) за счет средств займа ключевым исполнителям, не раскрытым на момент принятия Фондом решения о предоставлении финансирования проекта, возможна при условии получения согласования платежа со стороны Фонда с обязательным проведением дополнительной производственно-технологической и юридической экспертиз ключевого исполнителя.</w:t>
      </w:r>
    </w:p>
    <w:p w:rsidR="00800C70" w:rsidRPr="00800C70" w:rsidRDefault="00800C70" w:rsidP="00800C70">
      <w:pPr>
        <w:keepNext/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360" w:after="6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4"/>
          <w:lang w:eastAsia="ru-RU"/>
        </w:rPr>
      </w:pPr>
      <w:bookmarkStart w:id="17" w:name="_Toc437460695"/>
      <w:bookmarkStart w:id="18" w:name="_Toc472350698"/>
      <w:bookmarkStart w:id="19" w:name="_Toc424117596"/>
      <w:r w:rsidRPr="00800C70">
        <w:rPr>
          <w:rFonts w:ascii="Times New Roman" w:eastAsia="Times New Roman" w:hAnsi="Times New Roman" w:cs="Times New Roman"/>
          <w:b/>
          <w:bCs/>
          <w:kern w:val="28"/>
          <w:sz w:val="28"/>
          <w:szCs w:val="24"/>
          <w:lang w:eastAsia="ru-RU"/>
        </w:rPr>
        <w:t>Требования к Заявителю</w:t>
      </w:r>
      <w:bookmarkEnd w:id="17"/>
      <w:r w:rsidRPr="00800C70">
        <w:rPr>
          <w:rFonts w:ascii="Times New Roman" w:eastAsia="Times New Roman" w:hAnsi="Times New Roman" w:cs="Times New Roman"/>
          <w:b/>
          <w:bCs/>
          <w:kern w:val="28"/>
          <w:sz w:val="28"/>
          <w:szCs w:val="24"/>
          <w:lang w:eastAsia="ru-RU"/>
        </w:rPr>
        <w:t xml:space="preserve"> и основным участникам проекта</w:t>
      </w:r>
      <w:bookmarkEnd w:id="18"/>
    </w:p>
    <w:p w:rsidR="00800C70" w:rsidRPr="00800C70" w:rsidRDefault="00800C70" w:rsidP="00800C70">
      <w:pPr>
        <w:tabs>
          <w:tab w:val="left" w:pos="0"/>
          <w:tab w:val="left" w:pos="1134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6.1. Лицо, претендующее на получение денежных средств (Заявитель), должно соответствовать следующим требованиям:</w:t>
      </w:r>
    </w:p>
    <w:p w:rsidR="00800C70" w:rsidRPr="00800C70" w:rsidRDefault="00800C70" w:rsidP="003B532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являться юридическим лицом - коммерческой организацией или индивидуальным предпринимателем, получение займов для которого не запрещено действующим законодательством или уставом Заявителя; </w:t>
      </w:r>
    </w:p>
    <w:p w:rsidR="00800C70" w:rsidRPr="00800C70" w:rsidRDefault="00800C70" w:rsidP="003B532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являться юридическим лицом или индивидуальным предпринимателем, осуществляющим деятельность в сфере промышленности на территории Московской области;</w:t>
      </w:r>
    </w:p>
    <w:p w:rsidR="00800C70" w:rsidRPr="00800C70" w:rsidRDefault="00800C70" w:rsidP="003B532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являться резидентом Российской Федерации;</w:t>
      </w:r>
      <w:r w:rsidRPr="00800C70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4"/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0C70" w:rsidRPr="00800C70" w:rsidRDefault="00800C70" w:rsidP="003B5323">
      <w:pPr>
        <w:widowControl w:val="0"/>
        <w:numPr>
          <w:ilvl w:val="0"/>
          <w:numId w:val="6"/>
        </w:numPr>
        <w:tabs>
          <w:tab w:val="left" w:pos="993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</w:pPr>
      <w:r w:rsidRPr="00800C70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>не являться дочерним хозяйственным обществом</w:t>
      </w:r>
      <w:r w:rsidRPr="00800C70">
        <w:rPr>
          <w:rFonts w:ascii="Times New Roman" w:eastAsia="Times New Roman" w:hAnsi="Times New Roman" w:cs="Times New Roman"/>
          <w:spacing w:val="-6"/>
          <w:sz w:val="20"/>
          <w:szCs w:val="24"/>
          <w:vertAlign w:val="superscript"/>
          <w:lang w:eastAsia="ru-RU" w:bidi="ru-RU"/>
        </w:rPr>
        <w:footnoteReference w:id="5"/>
      </w:r>
      <w:r w:rsidRPr="00800C70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юридических лиц, созданных в соответствии с законодательством иностранных государств и имеющих местонахождение в низконалоговой юрисдикции за пределами территории Российской Федерации;</w:t>
      </w:r>
    </w:p>
    <w:p w:rsidR="00800C70" w:rsidRPr="00800C70" w:rsidRDefault="00800C70" w:rsidP="003B5323">
      <w:pPr>
        <w:numPr>
          <w:ilvl w:val="0"/>
          <w:numId w:val="6"/>
        </w:numPr>
        <w:tabs>
          <w:tab w:val="left" w:pos="993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Times New Roman" w:hAnsi="Times New Roman" w:cs="Times New Roman"/>
          <w:spacing w:val="-6"/>
          <w:sz w:val="24"/>
          <w:szCs w:val="24"/>
        </w:rPr>
        <w:t>бенефициарный владелец Заявителя не должен являться нерезидентом Российской Федерации, имеющим местонахождение (место жительства) в низконалоговой юрисдикции за пределами территории Российской Федерации;</w:t>
      </w:r>
    </w:p>
    <w:p w:rsidR="00800C70" w:rsidRPr="00800C70" w:rsidRDefault="00800C70" w:rsidP="003B532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0C70">
        <w:rPr>
          <w:rFonts w:ascii="Times New Roman" w:eastAsia="Times New Roman" w:hAnsi="Times New Roman" w:cs="Times New Roman"/>
          <w:sz w:val="24"/>
          <w:szCs w:val="24"/>
        </w:rPr>
        <w:t>раскрыть структуру собственности, предоставить список аффилированных лиц и сведения о конечных бенефициарах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на момент подачи заявки</w:t>
      </w:r>
      <w:r w:rsidRPr="00800C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0C70" w:rsidRPr="00800C70" w:rsidRDefault="00800C70" w:rsidP="003B532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не должно находиться в процессе реорганизации (за исключением реорганизации в форме преобразования, слияния или присоединения), ликвидации или банкротства на момент подачи заявки и/или получения займа.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6.2. Заявитель, его аффилированные лица, задействованные в реализации проекта как основные участники, не должны иметь просроченную задолженность по налогам, сборам и иным обязательным платежам в бюджеты бюджетной системы Российской </w:t>
      </w:r>
      <w:r w:rsidRPr="00800C70">
        <w:rPr>
          <w:rFonts w:ascii="Times New Roman" w:eastAsia="Calibri" w:hAnsi="Times New Roman" w:cs="Times New Roman"/>
          <w:sz w:val="24"/>
          <w:szCs w:val="24"/>
        </w:rPr>
        <w:lastRenderedPageBreak/>
        <w:t>Федерации, задолженность по заработной плате перед работниками, просроченную задолженность перед Фондом, зафиксированных фактов несвоевременного выполнения в прошлом обязательств перед Фондом, включая обязательств по возврату заемных денежных средств или по предоставлению отчетности о целевом использовании предоставленных денежных средств.</w:t>
      </w:r>
    </w:p>
    <w:p w:rsidR="00800C70" w:rsidRPr="00800C70" w:rsidRDefault="00800C70" w:rsidP="00800C70">
      <w:pPr>
        <w:widowControl w:val="0"/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00C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Предоставление финансирования проектов Заявителям, </w:t>
      </w:r>
      <w:r w:rsidRPr="00800C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входящим в одну Группу лиц с заемщиками, имеющими просроченную задолженность перед Фондом по займам, выданным за счет средств бюджета, осуществляется по решению Наблюдательного совета Фонда.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6.3. В случае, если между Заявителем и Фондом на дату подачи заявки действует договор (договоры) целевого займа, суммарная доля заимствований из средств целевого финансирования Фонда с учетом запрашиваемой суммы займа по вновь заявляемому проекту не должна составлять более 50% балансовой стоимости активов Заявителя на последнюю отчетную дату.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Наблюдательный совет Фонда </w:t>
      </w:r>
      <w:bookmarkStart w:id="20" w:name="_Hlk480115521"/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определяет предельный размер суммарной доли заимствований, предоставляемых из </w:t>
      </w:r>
      <w:r w:rsidRPr="00C85155">
        <w:rPr>
          <w:rFonts w:ascii="Times New Roman" w:eastAsia="Calibri" w:hAnsi="Times New Roman" w:cs="Times New Roman"/>
          <w:sz w:val="24"/>
          <w:szCs w:val="24"/>
        </w:rPr>
        <w:t>средств целевого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финансирования Фонда заявителям, входящим в одну Группу лиц. </w:t>
      </w:r>
    </w:p>
    <w:bookmarkEnd w:id="20"/>
    <w:p w:rsidR="00800C70" w:rsidRPr="00800C70" w:rsidRDefault="00800C70" w:rsidP="00800C70">
      <w:pPr>
        <w:tabs>
          <w:tab w:val="left" w:pos="0"/>
          <w:tab w:val="left" w:pos="1134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6.4. Лицо, заявленное в проекте как ключевой исполнитель, должно соответствовать следующим требованиям:</w:t>
      </w:r>
    </w:p>
    <w:p w:rsidR="00800C70" w:rsidRPr="00800C70" w:rsidRDefault="00800C70" w:rsidP="003B532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800C70">
        <w:rPr>
          <w:rFonts w:ascii="Times New Roman" w:eastAsia="Times New Roman" w:hAnsi="Times New Roman" w:cs="Times New Roman"/>
          <w:spacing w:val="-6"/>
          <w:sz w:val="24"/>
          <w:szCs w:val="24"/>
        </w:rPr>
        <w:t>являться резидентом Российской Федерации</w:t>
      </w:r>
      <w:r w:rsidRPr="00800C70">
        <w:rPr>
          <w:rFonts w:ascii="Times New Roman" w:eastAsia="Times New Roman" w:hAnsi="Times New Roman" w:cs="Times New Roman"/>
          <w:spacing w:val="-6"/>
          <w:sz w:val="18"/>
          <w:vertAlign w:val="superscript"/>
        </w:rPr>
        <w:footnoteReference w:id="6"/>
      </w:r>
      <w:r w:rsidRPr="00800C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или иностранным юридическим лицом, не зарегистрированным в низконалоговой юрисдикции;</w:t>
      </w:r>
    </w:p>
    <w:p w:rsidR="00800C70" w:rsidRPr="00800C70" w:rsidRDefault="00800C70" w:rsidP="003B532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800C70">
        <w:rPr>
          <w:rFonts w:ascii="Times New Roman" w:eastAsia="Times New Roman" w:hAnsi="Times New Roman" w:cs="Times New Roman"/>
          <w:spacing w:val="-6"/>
          <w:sz w:val="24"/>
          <w:szCs w:val="24"/>
        </w:rPr>
        <w:t>не должно находиться в процессе ликвидации или банкротства;</w:t>
      </w:r>
    </w:p>
    <w:p w:rsidR="00800C70" w:rsidRPr="00800C70" w:rsidRDefault="00800C70" w:rsidP="003B532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Times New Roman" w:hAnsi="Times New Roman" w:cs="Times New Roman"/>
          <w:spacing w:val="-6"/>
          <w:sz w:val="24"/>
          <w:szCs w:val="24"/>
        </w:rPr>
        <w:t>должно осуществлять деятельность, соответствующую деятельности в рамках проекта, и роли, заявленной в проекте (поставщик оборудования, инжиниринговая компания и т.п.). Компетенции такого лица должны быть подтверждены предоставленной Заявителем информацией о ранее выполненных аналогичных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работах (услугах), произведенной продукции.</w:t>
      </w:r>
    </w:p>
    <w:p w:rsidR="00800C70" w:rsidRPr="00800C70" w:rsidRDefault="00800C70" w:rsidP="00800C70">
      <w:pPr>
        <w:keepNext/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360" w:after="6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4"/>
          <w:lang w:eastAsia="ru-RU"/>
        </w:rPr>
      </w:pPr>
      <w:bookmarkStart w:id="21" w:name="_Toc437460696"/>
      <w:bookmarkStart w:id="22" w:name="_Toc472350699"/>
      <w:r w:rsidRPr="00800C70">
        <w:rPr>
          <w:rFonts w:ascii="Times New Roman" w:eastAsia="Times New Roman" w:hAnsi="Times New Roman" w:cs="Times New Roman"/>
          <w:b/>
          <w:bCs/>
          <w:kern w:val="28"/>
          <w:sz w:val="28"/>
          <w:szCs w:val="24"/>
          <w:lang w:eastAsia="ru-RU"/>
        </w:rPr>
        <w:t>Инструменты финансирования</w:t>
      </w:r>
      <w:bookmarkEnd w:id="19"/>
      <w:bookmarkEnd w:id="21"/>
      <w:bookmarkEnd w:id="22"/>
    </w:p>
    <w:p w:rsidR="00800C70" w:rsidRPr="00800C70" w:rsidRDefault="00800C70" w:rsidP="00800C70">
      <w:pPr>
        <w:tabs>
          <w:tab w:val="left" w:pos="0"/>
          <w:tab w:val="left" w:pos="1134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7.1. Финансирование со стороны Фонда осуществляется путем предоставления целевого займа на условиях возмездности и возвратности.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7.2. Процентная ставка по предоставляемым целевым займам </w:t>
      </w:r>
      <w:r w:rsidRPr="00C85155">
        <w:rPr>
          <w:rFonts w:ascii="Times New Roman" w:eastAsia="Calibri" w:hAnsi="Times New Roman" w:cs="Times New Roman"/>
          <w:sz w:val="24"/>
          <w:szCs w:val="24"/>
        </w:rPr>
        <w:t>составляет 5 (Пять) процентов годовых.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7.3. Заем предоставляется на срок, не превышающий срок займа, предусмотренный условиями программы финансирования. Срок займа может быть установлен Экспертным советом более коротким, чем запрошенный Заявителем, с учетом особенностей реализации проекта и результата финансово-экономической экспертизы.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7.4. Заявитель предоставляет обеспечение возврата займа в объеме основного долга и подлежащих уплате за все время пользования займом процентов в соответствии с видами обеспеч</w:t>
      </w:r>
      <w:r w:rsidR="00800482">
        <w:rPr>
          <w:rFonts w:ascii="Times New Roman" w:eastAsia="Calibri" w:hAnsi="Times New Roman" w:cs="Times New Roman"/>
          <w:sz w:val="24"/>
          <w:szCs w:val="24"/>
        </w:rPr>
        <w:t>ения, предусмотренными Положение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м Фонда № ПФ-02-2017. 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7.5. Заем предоставляется путем перечисления средств на расчетный счет в валюте Российской Федерации открытый Заявителем для обособленного учета денежных средств, предоставленных в виде займа. В случае если проектом предусмотрена закупка (поставка) импортного оборудования, сырья и комплектующих изделий, а также иных операций, осуществляемых в иностранной валюте, Заявитель открывает для обособленного учета </w:t>
      </w:r>
      <w:r w:rsidRPr="00800C7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денежных средств, предоставленных в виде займа, также расчетный счет в иностранной валюте.  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Платежи с указанных счетов осуществляются Заявителем только по согласованию с Фондом в порядке, установленном соответствующими договорами. 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7.6. Конвертация в иностранную валюту средств займа с целью размещения на расчетном счете и начисления процентов на остатки средств по нему запрещена, за исключением операций, осуществляемых в соответствии с валютным законодательством Российской Федерации при закупке (поставке) импортного оборудования, сырья и комплектующих изделий, а также иных операций, связанных с достижением целей предоставления указанных средств. 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7.7. Заявитель вправе заключить с кредитной организацией, открывшей указанный расчетный счет в валюте Российской Федерации, соглашение о начислении процентов на остатки денежных средств по нему, при этом размер процентной ставки не может превышать уровень ставки, установленной по договору займа. 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7.8. Погашение основного долга по займу осуществляется Заявителем равными ежеквартальными платежами в течение последних двух лет срока займа.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Проценты по займу уплачиваются Заявителем </w:t>
      </w:r>
      <w:r w:rsidRPr="003B5323">
        <w:rPr>
          <w:rFonts w:ascii="Times New Roman" w:eastAsia="Calibri" w:hAnsi="Times New Roman" w:cs="Times New Roman"/>
          <w:sz w:val="24"/>
          <w:szCs w:val="24"/>
        </w:rPr>
        <w:t>ежеквартально</w:t>
      </w:r>
      <w:r w:rsidRPr="00800C70">
        <w:rPr>
          <w:rFonts w:ascii="Times New Roman" w:eastAsia="Calibri" w:hAnsi="Times New Roman" w:cs="Times New Roman"/>
          <w:sz w:val="24"/>
          <w:szCs w:val="24"/>
        </w:rPr>
        <w:t>, начиная с первого квартала после выдачи займа.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Иной порядок погашения суммы займа и процентов может быть установлен Экспертным советом с учетом особенностей реализации проекта.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7.9. Проценты начисляются на сумму задолженности по основному долгу, исходя из фактического количества календарных дней в соответствующем календарном месяце и действительного числа календарных дней в году. 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Проценты начисляются на сумму задолженности по основному долгу за период со дня, следующего за днем предоставления суммы займа, по дату фактического погашения задолженности по договору, но в любом случае не позднее даты окончательного погашения задолженности, а в случае полного досрочного истребования Фондом текущей задолженности по займу - не позднее даты досрочного погашения.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7.10. Заявитель имеет право досрочно погасить заем полностью или частично при условии реализации проекта. 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7.11. Фонд вправе потребовать уплатить вместо процентов, указанных в п. 7.2, проценты за пользование суммой займа (или его части, соответственно) в размере двукратной ключевой ставки Банка России, действующей в период с момента выдачи займа и до момента его полного возврата Фонду: </w:t>
      </w:r>
    </w:p>
    <w:p w:rsidR="00800C70" w:rsidRPr="00800C70" w:rsidRDefault="00800C70" w:rsidP="003B532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в случае прекращения договора по инициативе Заявителя без завершения реализации проекта (отказа от проекта), за исключением случая, когда невозможность реализации проекта возникла по независящим от Заявителя причинам;</w:t>
      </w:r>
    </w:p>
    <w:p w:rsidR="00800C70" w:rsidRPr="00800C70" w:rsidRDefault="00800C70" w:rsidP="003B532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при выявлении Фондом факта нецелевого использования Заемщиком суммы займа (или его части), а также заведомого получения займа без намерения реализации проекта</w:t>
      </w:r>
      <w:r w:rsidRPr="00800C70">
        <w:rPr>
          <w:rFonts w:ascii="Arial" w:eastAsia="Calibri" w:hAnsi="Arial" w:cs="Arial"/>
          <w:sz w:val="24"/>
          <w:szCs w:val="24"/>
        </w:rPr>
        <w:t xml:space="preserve">. </w:t>
      </w:r>
    </w:p>
    <w:p w:rsidR="00800C70" w:rsidRPr="00800C70" w:rsidRDefault="00800C70" w:rsidP="00800C70">
      <w:pPr>
        <w:tabs>
          <w:tab w:val="left" w:pos="0"/>
          <w:tab w:val="left" w:pos="1134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Расчёт процентов по займу ведется с учетом изменений размера ключевой ставки Банка России, фактически действовавшей в течение периода с момента выдачи займа. </w:t>
      </w:r>
    </w:p>
    <w:p w:rsidR="00800C70" w:rsidRPr="00800C70" w:rsidRDefault="00800C70" w:rsidP="00800C70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textAlignment w:val="baseline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3" w:name="_Toc471980687"/>
      <w:bookmarkStart w:id="24" w:name="_Toc472350700"/>
      <w:r w:rsidRPr="00800C70">
        <w:rPr>
          <w:rFonts w:ascii="Times New Roman" w:eastAsia="Calibri" w:hAnsi="Times New Roman" w:cs="Times New Roman"/>
          <w:sz w:val="24"/>
          <w:szCs w:val="24"/>
        </w:rPr>
        <w:t>7.12. Заявитель несет ответственность за неисполнение или ненадлежащее исполнение предусмотренных договором обязательств, включая следующие:</w:t>
      </w:r>
      <w:bookmarkEnd w:id="23"/>
      <w:bookmarkEnd w:id="24"/>
    </w:p>
    <w:p w:rsidR="00800C70" w:rsidRPr="00800C70" w:rsidRDefault="00800C70" w:rsidP="003B5323">
      <w:pPr>
        <w:numPr>
          <w:ilvl w:val="0"/>
          <w:numId w:val="6"/>
        </w:numPr>
        <w:tabs>
          <w:tab w:val="left" w:pos="993"/>
        </w:tabs>
        <w:spacing w:before="120"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 неисполнение или ненадлежащее исполнение обязательств по возврату основного долга и/или уплате процентов за пользование займом -  пени в </w:t>
      </w:r>
      <w:r w:rsidRPr="00C85155">
        <w:rPr>
          <w:rFonts w:ascii="Times New Roman" w:eastAsia="Calibri" w:hAnsi="Times New Roman" w:cs="Times New Roman"/>
          <w:sz w:val="24"/>
          <w:szCs w:val="24"/>
        </w:rPr>
        <w:t>размере 0,1%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от несвоевременно уплаченной суммы за каждый день просрочки;</w:t>
      </w:r>
    </w:p>
    <w:p w:rsidR="00800C70" w:rsidRPr="00800C70" w:rsidRDefault="00800C70" w:rsidP="003B532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в случае нарушения Заявителем установленного договором займа срока предоставления отчетов о реализации проекта и отчетов о достижении целевых показателей эффективности использования займа - пени в </w:t>
      </w:r>
      <w:r w:rsidRPr="00C85155">
        <w:rPr>
          <w:rFonts w:ascii="Times New Roman" w:eastAsia="Calibri" w:hAnsi="Times New Roman" w:cs="Times New Roman"/>
          <w:sz w:val="24"/>
          <w:szCs w:val="24"/>
        </w:rPr>
        <w:t>размере 0,001%</w:t>
      </w:r>
      <w:r w:rsidRPr="00800C70">
        <w:rPr>
          <w:rFonts w:ascii="Times New Roman" w:eastAsia="Calibri" w:hAnsi="Times New Roman" w:cs="Times New Roman"/>
          <w:sz w:val="24"/>
          <w:szCs w:val="24"/>
        </w:rPr>
        <w:t xml:space="preserve"> от суммы Займа за каждый день просрочки;</w:t>
      </w:r>
    </w:p>
    <w:p w:rsidR="00800C70" w:rsidRPr="00800C70" w:rsidRDefault="00800C70" w:rsidP="003B532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в случае нарушения Заявителем предусмотренного договором займа срока регистрации договора о предоставлении обеспечения (обременения) - пени в размере 0,001% от суммы Займа за каждый день просрочки.</w:t>
      </w:r>
    </w:p>
    <w:p w:rsidR="00800C70" w:rsidRPr="00800C70" w:rsidRDefault="00800C70" w:rsidP="003B5323">
      <w:pPr>
        <w:tabs>
          <w:tab w:val="left" w:pos="0"/>
          <w:tab w:val="left" w:pos="1134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7.13. Условиями предоставления финансирования является согласие Заявителя:</w:t>
      </w:r>
    </w:p>
    <w:p w:rsidR="00800C70" w:rsidRPr="00800C70" w:rsidRDefault="00800C70" w:rsidP="003B532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представлять отчеты о ходе реализации проекта и достижении целевых показателей эффективности использования займа;</w:t>
      </w:r>
    </w:p>
    <w:p w:rsidR="00800C70" w:rsidRPr="00800C70" w:rsidRDefault="00800C70" w:rsidP="003B532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предоставлять информацию о проекте, получившем финансовую поддержку Фонда, и своей деятельности в сфере промышленности (производственная специализация, регистрационные данные, финансово-экономическое состояние, ключевые проекты, проекты импортозамещения, данные о результатах интеллектуальной деятельности) в Государственной информационной системе промышленности;</w:t>
      </w:r>
    </w:p>
    <w:p w:rsidR="00800C70" w:rsidRDefault="00800C70" w:rsidP="003B532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C70">
        <w:rPr>
          <w:rFonts w:ascii="Times New Roman" w:eastAsia="Calibri" w:hAnsi="Times New Roman" w:cs="Times New Roman"/>
          <w:sz w:val="24"/>
          <w:szCs w:val="24"/>
        </w:rPr>
        <w:t>обеспечить возможность контроля Фондом действий самого Заявителя и основных участников проекта в ходе реализации проекта, целевым использованием средств займа, состоянием обеспечения и финансовым состоянием Заявителя, лиц, предоставивших обеспечение.</w:t>
      </w:r>
    </w:p>
    <w:p w:rsidR="00A37A74" w:rsidRDefault="00A37A74" w:rsidP="00A37A7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A74" w:rsidRDefault="00A37A74" w:rsidP="00A37A7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A74" w:rsidRDefault="00A37A74" w:rsidP="00A37A7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A74" w:rsidRDefault="00A37A74" w:rsidP="00A37A7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A74" w:rsidRDefault="00A37A74" w:rsidP="00A37A7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A74" w:rsidRDefault="00A37A74" w:rsidP="00A37A7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A74" w:rsidRDefault="00A37A74" w:rsidP="00A37A7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A74" w:rsidRDefault="00A37A74" w:rsidP="00A37A7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155" w:rsidRDefault="00C8515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155" w:rsidRDefault="00C8515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155" w:rsidRDefault="00C8515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155" w:rsidRDefault="00C8515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155" w:rsidRDefault="00C8515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155" w:rsidRDefault="00C8515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155" w:rsidRDefault="00C8515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155" w:rsidRDefault="00C8515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155" w:rsidRDefault="00C8515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155" w:rsidRDefault="00C8515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3C5" w:rsidRDefault="006643C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3C5" w:rsidRDefault="006643C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3C5" w:rsidRDefault="006643C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3C5" w:rsidRDefault="006643C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3C5" w:rsidRDefault="006643C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3C5" w:rsidRDefault="006643C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3C5" w:rsidRDefault="006643C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3C5" w:rsidRDefault="006643C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3C5" w:rsidRDefault="006643C5" w:rsidP="00C8515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155" w:rsidRDefault="00C85155" w:rsidP="00617FF3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bookmarkStart w:id="25" w:name="_Toc442440323"/>
      <w:bookmarkStart w:id="26" w:name="_Toc472350704"/>
    </w:p>
    <w:p w:rsidR="00617FF3" w:rsidRPr="00710DA3" w:rsidRDefault="00710DA3" w:rsidP="00617FF3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6521"/>
        <w:jc w:val="center"/>
        <w:textAlignment w:val="baseline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710D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Приложение № </w:t>
      </w:r>
      <w:bookmarkEnd w:id="25"/>
      <w:bookmarkEnd w:id="26"/>
      <w:r w:rsidR="00A37A7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1</w:t>
      </w:r>
    </w:p>
    <w:p w:rsidR="00710DA3" w:rsidRDefault="00710DA3" w:rsidP="003B5323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7FF3" w:rsidRPr="00617FF3" w:rsidRDefault="00617FF3" w:rsidP="00617F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7FF3">
        <w:rPr>
          <w:rFonts w:ascii="Times New Roman" w:eastAsia="Calibri" w:hAnsi="Times New Roman" w:cs="Times New Roman"/>
          <w:b/>
          <w:sz w:val="28"/>
          <w:szCs w:val="28"/>
        </w:rPr>
        <w:t>Перечень отраслевых направлений, в рамках которых возможно получение финансовой поддержки Фонда развития промышленности на реализацию инвестиционных проектов</w:t>
      </w:r>
    </w:p>
    <w:p w:rsidR="00617FF3" w:rsidRPr="00710DA3" w:rsidRDefault="00617FF3" w:rsidP="00617F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575"/>
        <w:gridCol w:w="8079"/>
      </w:tblGrid>
      <w:tr w:rsidR="00710DA3" w:rsidRPr="00710DA3" w:rsidTr="00710DA3">
        <w:trPr>
          <w:trHeight w:val="2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Раздел C "Обрабатывающие производства"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10D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  <w:r w:rsidRPr="00710DA3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710D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класса</w:t>
            </w:r>
          </w:p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ОКВЭД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пищевых продуктов в части промышленных биотехнологий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текстильных изделий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одежды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кожи и изделий из кожи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бумаги и бумажных изделий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химических веществ и химических продуктов</w:t>
            </w:r>
          </w:p>
        </w:tc>
      </w:tr>
      <w:tr w:rsidR="00710DA3" w:rsidRPr="00710DA3" w:rsidTr="00710DA3">
        <w:trPr>
          <w:trHeight w:val="36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22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резиновых и пластмассовых изделий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23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прочей неметаллической минеральной продукции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металлургическое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готовых металлических изделий, кроме машин и оборудования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26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компьютеров, электронных и оптических изделий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27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электрического оборудования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машин и оборудования, не включенных в другие группировки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29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автотранспортных средств, прицепов и полуприцепов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прочих транспортных средств и оборудования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мебели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прочих готовых изделий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33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Ремонт и монтаж машин и оборудования</w:t>
            </w:r>
          </w:p>
        </w:tc>
      </w:tr>
    </w:tbl>
    <w:p w:rsidR="00710DA3" w:rsidRPr="00710DA3" w:rsidRDefault="00710DA3" w:rsidP="00710D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575"/>
        <w:gridCol w:w="8079"/>
      </w:tblGrid>
      <w:tr w:rsidR="00710DA3" w:rsidRPr="00710DA3" w:rsidTr="00710DA3">
        <w:trPr>
          <w:trHeight w:val="571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b/>
              </w:rPr>
              <w:t>Перечень отраслевых направлений, в р</w:t>
            </w:r>
            <w:r w:rsidR="00617FF3">
              <w:rPr>
                <w:rFonts w:ascii="Times New Roman" w:eastAsia="Calibri" w:hAnsi="Times New Roman" w:cs="Times New Roman"/>
                <w:b/>
              </w:rPr>
              <w:t>амках которых не осуществляется</w:t>
            </w:r>
            <w:r w:rsidRPr="00710DA3">
              <w:rPr>
                <w:rFonts w:ascii="Times New Roman" w:eastAsia="Calibri" w:hAnsi="Times New Roman" w:cs="Times New Roman"/>
                <w:b/>
              </w:rPr>
              <w:t xml:space="preserve"> финансовая поддержка Фондом развития промышленности на реализацию инвестиционных проектов</w:t>
            </w:r>
            <w:r w:rsidRPr="00710DA3">
              <w:rPr>
                <w:rFonts w:ascii="Times New Roman" w:eastAsia="MS Gothic" w:hAnsi="Times New Roman" w:cs="Times New Roman"/>
                <w:i/>
                <w:color w:val="000000"/>
                <w:vertAlign w:val="superscript"/>
              </w:rPr>
              <w:footnoteReference w:id="7"/>
            </w:r>
          </w:p>
        </w:tc>
      </w:tr>
      <w:tr w:rsidR="00710DA3" w:rsidRPr="00710DA3" w:rsidTr="00710DA3">
        <w:trPr>
          <w:trHeight w:val="2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Раздел C "Обрабатывающие производства"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 класса ОКВЭД.код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пищевых продуктов (за исключением промышленных биотехнологий)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напитков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Pr="00710DA3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табачных изделий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Деятельность полиграфическая и копирование носителей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кокса и нефтепродуктов</w:t>
            </w:r>
          </w:p>
        </w:tc>
      </w:tr>
      <w:tr w:rsidR="00710DA3" w:rsidRPr="00710DA3" w:rsidTr="00710DA3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DA3" w:rsidRPr="00710DA3" w:rsidRDefault="00710DA3" w:rsidP="0071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24.46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color w:val="000000"/>
              </w:rPr>
              <w:t>Производство ядерного топлива</w:t>
            </w:r>
          </w:p>
        </w:tc>
      </w:tr>
      <w:tr w:rsidR="00710DA3" w:rsidRPr="00710DA3" w:rsidTr="00710DA3">
        <w:trPr>
          <w:trHeight w:val="2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Раздел B "Добыча полезных ископаемых"</w:t>
            </w:r>
          </w:p>
        </w:tc>
      </w:tr>
      <w:tr w:rsidR="00710DA3" w:rsidRPr="00710DA3" w:rsidTr="00710DA3">
        <w:trPr>
          <w:trHeight w:val="2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DA3" w:rsidRPr="00710DA3" w:rsidRDefault="00710DA3" w:rsidP="00710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Раздел D "Обеспечение электрической энергией, газом и паром; кондиционирование воздуха"</w:t>
            </w:r>
          </w:p>
        </w:tc>
      </w:tr>
      <w:tr w:rsidR="00710DA3" w:rsidRPr="00710DA3" w:rsidTr="00710DA3">
        <w:trPr>
          <w:trHeight w:val="2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DA3" w:rsidRPr="00710DA3" w:rsidRDefault="00710DA3" w:rsidP="00710DA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710DA3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Раздел E "Водоснабжение; водоотведение, организация сбора и утилизации отходов, деятельность по ликвидации загрязнений"</w:t>
            </w:r>
          </w:p>
        </w:tc>
      </w:tr>
    </w:tbl>
    <w:p w:rsidR="005225C2" w:rsidRDefault="005225C2"/>
    <w:sectPr w:rsidR="0052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60" w:rsidRDefault="00216160" w:rsidP="00800C70">
      <w:pPr>
        <w:spacing w:after="0" w:line="240" w:lineRule="auto"/>
      </w:pPr>
      <w:r>
        <w:separator/>
      </w:r>
    </w:p>
  </w:endnote>
  <w:endnote w:type="continuationSeparator" w:id="0">
    <w:p w:rsidR="00216160" w:rsidRDefault="00216160" w:rsidP="0080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60" w:rsidRDefault="00216160" w:rsidP="00800C70">
      <w:pPr>
        <w:spacing w:after="0" w:line="240" w:lineRule="auto"/>
      </w:pPr>
      <w:r>
        <w:separator/>
      </w:r>
    </w:p>
  </w:footnote>
  <w:footnote w:type="continuationSeparator" w:id="0">
    <w:p w:rsidR="00216160" w:rsidRDefault="00216160" w:rsidP="00800C70">
      <w:pPr>
        <w:spacing w:after="0" w:line="240" w:lineRule="auto"/>
      </w:pPr>
      <w:r>
        <w:continuationSeparator/>
      </w:r>
    </w:p>
  </w:footnote>
  <w:footnote w:id="1">
    <w:p w:rsidR="00710DA3" w:rsidRPr="00C617E0" w:rsidRDefault="00710DA3" w:rsidP="00800C7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C617E0">
        <w:rPr>
          <w:rStyle w:val="a8"/>
          <w:rFonts w:ascii="Times New Roman" w:hAnsi="Times New Roman"/>
        </w:rPr>
        <w:footnoteRef/>
      </w:r>
      <w:r w:rsidRPr="00C617E0">
        <w:rPr>
          <w:rFonts w:ascii="Times New Roman" w:hAnsi="Times New Roman" w:cs="Times New Roman"/>
        </w:rPr>
        <w:t xml:space="preserve">  </w:t>
      </w:r>
      <w:r w:rsidRPr="00C617E0">
        <w:rPr>
          <w:rFonts w:ascii="Times New Roman" w:hAnsi="Times New Roman" w:cs="Times New Roman"/>
          <w:sz w:val="18"/>
          <w:szCs w:val="18"/>
        </w:rPr>
        <w:t>Указание Банка России от 28.01.2016 № 3949-У "Об утверждении перечня иностранных бирж, прохождение процедуры листинга на которых является обязательным условием для принятия Российской биржей решения о допуске ценных бумаг иностранных эмитентов к организованным торгам, а также условием для непроведения организациями, осуществляющими операции с денежными средствами или иным имуществом, идентификации бенефициарных владельцев иностранных организаций, чьи ценные бумаги прошли процедуру листинга на таких биржах" (или иные аналогичные указания).</w:t>
      </w:r>
    </w:p>
  </w:footnote>
  <w:footnote w:id="2">
    <w:p w:rsidR="00710DA3" w:rsidRPr="008C0999" w:rsidRDefault="00710DA3" w:rsidP="00800C70">
      <w:pPr>
        <w:pStyle w:val="16"/>
        <w:ind w:firstLine="567"/>
        <w:rPr>
          <w:sz w:val="22"/>
          <w:szCs w:val="22"/>
        </w:rPr>
      </w:pPr>
      <w:r w:rsidRPr="00C617E0">
        <w:rPr>
          <w:rFonts w:ascii="Times New Roman" w:hAnsi="Times New Roman" w:cs="Times New Roman"/>
          <w:sz w:val="22"/>
          <w:szCs w:val="22"/>
          <w:vertAlign w:val="superscript"/>
        </w:rPr>
        <w:footnoteRef/>
      </w:r>
      <w:r w:rsidRPr="00C617E0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617E0">
        <w:rPr>
          <w:rFonts w:ascii="Times New Roman" w:hAnsi="Times New Roman" w:cs="Times New Roman"/>
          <w:sz w:val="22"/>
          <w:szCs w:val="22"/>
        </w:rPr>
        <w:t xml:space="preserve"> </w:t>
      </w:r>
      <w:r w:rsidRPr="00C617E0">
        <w:rPr>
          <w:rFonts w:ascii="Times New Roman" w:hAnsi="Times New Roman" w:cs="Times New Roman"/>
          <w:sz w:val="18"/>
          <w:szCs w:val="18"/>
        </w:rPr>
        <w:t>Письмо Минфина России от 9 апреля 2014 г. № 03-00-РЗ/16236 (и иные аналогичные разъяснения).</w:t>
      </w:r>
    </w:p>
  </w:footnote>
  <w:footnote w:id="3">
    <w:p w:rsidR="00710DA3" w:rsidRPr="00C617E0" w:rsidRDefault="00710DA3" w:rsidP="00800C70">
      <w:pPr>
        <w:pStyle w:val="16"/>
        <w:ind w:firstLine="567"/>
        <w:rPr>
          <w:rFonts w:ascii="Times New Roman" w:hAnsi="Times New Roman" w:cs="Times New Roman"/>
        </w:rPr>
      </w:pPr>
      <w:r w:rsidRPr="00C617E0">
        <w:rPr>
          <w:rStyle w:val="a8"/>
          <w:rFonts w:ascii="Times New Roman" w:hAnsi="Times New Roman"/>
        </w:rPr>
        <w:footnoteRef/>
      </w:r>
      <w:r w:rsidRPr="00C617E0">
        <w:rPr>
          <w:rFonts w:ascii="Times New Roman" w:hAnsi="Times New Roman" w:cs="Times New Roman"/>
        </w:rPr>
        <w:t xml:space="preserve">  </w:t>
      </w:r>
      <w:r w:rsidRPr="00C617E0">
        <w:rPr>
          <w:rFonts w:ascii="Times New Roman" w:hAnsi="Times New Roman" w:cs="Times New Roman"/>
          <w:sz w:val="18"/>
          <w:szCs w:val="18"/>
        </w:rPr>
        <w:t>За исключением приобретения промышленного оборудования по договорам финансовой аренды (лизинга).</w:t>
      </w:r>
    </w:p>
  </w:footnote>
  <w:footnote w:id="4">
    <w:p w:rsidR="00710DA3" w:rsidRPr="00EE113B" w:rsidRDefault="00710DA3" w:rsidP="00800C70">
      <w:pPr>
        <w:pStyle w:val="16"/>
        <w:ind w:firstLine="709"/>
        <w:rPr>
          <w:rFonts w:ascii="Times New Roman" w:hAnsi="Times New Roman" w:cs="Times New Roman"/>
        </w:rPr>
      </w:pPr>
      <w:r w:rsidRPr="00E54A51">
        <w:rPr>
          <w:rStyle w:val="a8"/>
          <w:sz w:val="22"/>
          <w:szCs w:val="22"/>
        </w:rPr>
        <w:footnoteRef/>
      </w:r>
      <w:r w:rsidRPr="00E54A51">
        <w:rPr>
          <w:rStyle w:val="a8"/>
          <w:sz w:val="22"/>
          <w:szCs w:val="22"/>
        </w:rPr>
        <w:t xml:space="preserve"> </w:t>
      </w:r>
      <w:r w:rsidRPr="00EE113B">
        <w:rPr>
          <w:rFonts w:ascii="Times New Roman" w:hAnsi="Times New Roman" w:cs="Times New Roman"/>
          <w:sz w:val="18"/>
          <w:szCs w:val="18"/>
        </w:rPr>
        <w:t>Здесь и далее определяется в соответствии с законодательством о валютном регулировании и валютном контроле.</w:t>
      </w:r>
    </w:p>
  </w:footnote>
  <w:footnote w:id="5">
    <w:p w:rsidR="00710DA3" w:rsidRPr="00BB702D" w:rsidRDefault="00710DA3" w:rsidP="00800C70">
      <w:pPr>
        <w:pStyle w:val="16"/>
        <w:ind w:firstLine="709"/>
        <w:rPr>
          <w:rStyle w:val="a8"/>
          <w:rFonts w:ascii="Arial" w:hAnsi="Arial" w:cs="Arial"/>
        </w:rPr>
      </w:pPr>
      <w:r w:rsidRPr="00EE113B">
        <w:rPr>
          <w:rStyle w:val="a8"/>
          <w:rFonts w:ascii="Times New Roman" w:hAnsi="Times New Roman"/>
        </w:rPr>
        <w:footnoteRef/>
      </w:r>
      <w:r w:rsidRPr="00EE113B">
        <w:rPr>
          <w:rFonts w:ascii="Times New Roman" w:hAnsi="Times New Roman" w:cs="Times New Roman"/>
        </w:rPr>
        <w:t xml:space="preserve"> </w:t>
      </w:r>
      <w:r w:rsidRPr="00EE113B">
        <w:rPr>
          <w:rFonts w:ascii="Times New Roman" w:hAnsi="Times New Roman" w:cs="Times New Roman"/>
          <w:sz w:val="18"/>
          <w:szCs w:val="18"/>
        </w:rPr>
        <w:t>Определяется в соответствии с ч.1 ст. 67.3 Гражданского кодекса Российской Федерации</w:t>
      </w:r>
      <w:r w:rsidRPr="00D13F77">
        <w:rPr>
          <w:rFonts w:ascii="Arial" w:hAnsi="Arial" w:cs="Arial"/>
          <w:sz w:val="18"/>
          <w:szCs w:val="18"/>
        </w:rPr>
        <w:t>.</w:t>
      </w:r>
    </w:p>
  </w:footnote>
  <w:footnote w:id="6">
    <w:p w:rsidR="00710DA3" w:rsidRPr="00EE5540" w:rsidRDefault="00710DA3" w:rsidP="00800C70">
      <w:pPr>
        <w:pStyle w:val="16"/>
        <w:ind w:firstLine="709"/>
        <w:rPr>
          <w:rStyle w:val="a8"/>
          <w:rFonts w:ascii="Times New Roman" w:hAnsi="Times New Roman"/>
        </w:rPr>
      </w:pPr>
      <w:r w:rsidRPr="00EE5540">
        <w:rPr>
          <w:rStyle w:val="a8"/>
          <w:rFonts w:ascii="Times New Roman" w:hAnsi="Times New Roman"/>
        </w:rPr>
        <w:footnoteRef/>
      </w:r>
      <w:r w:rsidRPr="00EE5540">
        <w:rPr>
          <w:rFonts w:ascii="Times New Roman" w:hAnsi="Times New Roman" w:cs="Times New Roman"/>
        </w:rPr>
        <w:t xml:space="preserve"> </w:t>
      </w:r>
      <w:r w:rsidRPr="00C85155">
        <w:rPr>
          <w:rFonts w:ascii="Times New Roman" w:hAnsi="Times New Roman" w:cs="Times New Roman"/>
          <w:sz w:val="18"/>
          <w:szCs w:val="18"/>
        </w:rPr>
        <w:t>Определяется в соответствии с законодательством о валютном регулировании и валютном контроле.</w:t>
      </w:r>
    </w:p>
  </w:footnote>
  <w:footnote w:id="7">
    <w:p w:rsidR="00710DA3" w:rsidRPr="00D915AE" w:rsidRDefault="00710DA3" w:rsidP="00710DA3">
      <w:pPr>
        <w:pStyle w:val="a6"/>
        <w:rPr>
          <w:rFonts w:ascii="Times New Roman" w:eastAsia="Times New Roman" w:hAnsi="Times New Roman" w:cs="Times New Roman"/>
        </w:rPr>
      </w:pPr>
      <w:r w:rsidRPr="00710DA3">
        <w:rPr>
          <w:rStyle w:val="a8"/>
          <w:rFonts w:ascii="Times New Roman" w:eastAsia="MS Gothic" w:hAnsi="Times New Roman"/>
        </w:rPr>
        <w:footnoteRef/>
      </w:r>
      <w:r w:rsidRPr="00D915AE">
        <w:rPr>
          <w:rFonts w:ascii="Times New Roman" w:hAnsi="Times New Roman" w:cs="Times New Roman"/>
        </w:rPr>
        <w:t xml:space="preserve"> </w:t>
      </w:r>
      <w:r w:rsidRPr="00D915AE">
        <w:rPr>
          <w:rFonts w:ascii="Times New Roman" w:hAnsi="Times New Roman" w:cs="Times New Roman"/>
          <w:sz w:val="18"/>
          <w:szCs w:val="18"/>
        </w:rPr>
        <w:t>Из отнесенных к промышленной деятельности в соответствии со статьей 3 Федерального закона Российской Федерации от 31.12.2014 № 488-ФЗ "О промышленной политике в Российской Федерации".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895"/>
    <w:multiLevelType w:val="hybridMultilevel"/>
    <w:tmpl w:val="0CFC5AE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47D59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E757CE"/>
    <w:multiLevelType w:val="multilevel"/>
    <w:tmpl w:val="A3321D4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186C0C"/>
    <w:multiLevelType w:val="multilevel"/>
    <w:tmpl w:val="CACA2D7C"/>
    <w:lvl w:ilvl="0">
      <w:start w:val="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4A5B87"/>
    <w:multiLevelType w:val="hybridMultilevel"/>
    <w:tmpl w:val="4D5894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09E3419"/>
    <w:multiLevelType w:val="hybridMultilevel"/>
    <w:tmpl w:val="9F365274"/>
    <w:lvl w:ilvl="0" w:tplc="0419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993AFA"/>
    <w:multiLevelType w:val="hybridMultilevel"/>
    <w:tmpl w:val="992CAF5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4A685C"/>
    <w:multiLevelType w:val="multilevel"/>
    <w:tmpl w:val="999C6AF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165A3914"/>
    <w:multiLevelType w:val="hybridMultilevel"/>
    <w:tmpl w:val="19809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F00010"/>
    <w:multiLevelType w:val="hybridMultilevel"/>
    <w:tmpl w:val="F93AC7B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D7248FA"/>
    <w:multiLevelType w:val="multilevel"/>
    <w:tmpl w:val="D5CC745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DC07FBA"/>
    <w:multiLevelType w:val="hybridMultilevel"/>
    <w:tmpl w:val="A788A570"/>
    <w:lvl w:ilvl="0" w:tplc="42AE9746">
      <w:start w:val="1"/>
      <w:numFmt w:val="decimal"/>
      <w:pStyle w:val="2"/>
      <w:lvlText w:val="Приложение № %1."/>
      <w:lvlJc w:val="left"/>
      <w:pPr>
        <w:tabs>
          <w:tab w:val="num" w:pos="3261"/>
        </w:tabs>
        <w:ind w:left="3261" w:hanging="2268"/>
      </w:pPr>
      <w:rPr>
        <w:rFonts w:ascii="Times New Roman" w:hAnsi="Times New Roman" w:hint="default"/>
        <w:b/>
        <w:i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 w15:restartNumberingAfterBreak="0">
    <w:nsid w:val="1EE032E1"/>
    <w:multiLevelType w:val="hybridMultilevel"/>
    <w:tmpl w:val="1F427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F332803"/>
    <w:multiLevelType w:val="hybridMultilevel"/>
    <w:tmpl w:val="75A22DDE"/>
    <w:lvl w:ilvl="0" w:tplc="0419000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20AC1A87"/>
    <w:multiLevelType w:val="multilevel"/>
    <w:tmpl w:val="452AC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229D07EB"/>
    <w:multiLevelType w:val="multilevel"/>
    <w:tmpl w:val="FEF2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6170F4"/>
    <w:multiLevelType w:val="multilevel"/>
    <w:tmpl w:val="07DE30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242B45F2"/>
    <w:multiLevelType w:val="multilevel"/>
    <w:tmpl w:val="3F480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5891FEA"/>
    <w:multiLevelType w:val="multilevel"/>
    <w:tmpl w:val="1A129A84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2ABF209C"/>
    <w:multiLevelType w:val="multilevel"/>
    <w:tmpl w:val="7A4E69B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2DB5335B"/>
    <w:multiLevelType w:val="hybridMultilevel"/>
    <w:tmpl w:val="BC8CF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13B6083"/>
    <w:multiLevelType w:val="hybridMultilevel"/>
    <w:tmpl w:val="78FA9C56"/>
    <w:lvl w:ilvl="0" w:tplc="04190019">
      <w:start w:val="1"/>
      <w:numFmt w:val="lowerLetter"/>
      <w:lvlText w:val="%1."/>
      <w:lvlJc w:val="left"/>
      <w:pPr>
        <w:ind w:left="22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32826DE0"/>
    <w:multiLevelType w:val="hybridMultilevel"/>
    <w:tmpl w:val="76E48556"/>
    <w:lvl w:ilvl="0" w:tplc="72AA4C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282F61"/>
    <w:multiLevelType w:val="hybridMultilevel"/>
    <w:tmpl w:val="D5DCDFA8"/>
    <w:lvl w:ilvl="0" w:tplc="61A45E0C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4" w15:restartNumberingAfterBreak="0">
    <w:nsid w:val="363301F7"/>
    <w:multiLevelType w:val="multilevel"/>
    <w:tmpl w:val="FBC8DA26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378C2BF6"/>
    <w:multiLevelType w:val="multilevel"/>
    <w:tmpl w:val="906887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401A42"/>
    <w:multiLevelType w:val="hybridMultilevel"/>
    <w:tmpl w:val="09AA40A4"/>
    <w:lvl w:ilvl="0" w:tplc="04190019">
      <w:start w:val="1"/>
      <w:numFmt w:val="lowerLetter"/>
      <w:lvlText w:val="%1."/>
      <w:lvlJc w:val="left"/>
      <w:pPr>
        <w:ind w:left="22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3B7D67A4"/>
    <w:multiLevelType w:val="hybridMultilevel"/>
    <w:tmpl w:val="B6C63EF6"/>
    <w:lvl w:ilvl="0" w:tplc="5B7897BA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96" w:hanging="360"/>
      </w:pPr>
    </w:lvl>
    <w:lvl w:ilvl="2" w:tplc="0419001B" w:tentative="1">
      <w:start w:val="1"/>
      <w:numFmt w:val="lowerRoman"/>
      <w:lvlText w:val="%3."/>
      <w:lvlJc w:val="right"/>
      <w:pPr>
        <w:ind w:left="4116" w:hanging="180"/>
      </w:pPr>
    </w:lvl>
    <w:lvl w:ilvl="3" w:tplc="0419000F" w:tentative="1">
      <w:start w:val="1"/>
      <w:numFmt w:val="decimal"/>
      <w:lvlText w:val="%4."/>
      <w:lvlJc w:val="left"/>
      <w:pPr>
        <w:ind w:left="4836" w:hanging="360"/>
      </w:pPr>
    </w:lvl>
    <w:lvl w:ilvl="4" w:tplc="04190019" w:tentative="1">
      <w:start w:val="1"/>
      <w:numFmt w:val="lowerLetter"/>
      <w:lvlText w:val="%5."/>
      <w:lvlJc w:val="left"/>
      <w:pPr>
        <w:ind w:left="5556" w:hanging="360"/>
      </w:pPr>
    </w:lvl>
    <w:lvl w:ilvl="5" w:tplc="0419001B" w:tentative="1">
      <w:start w:val="1"/>
      <w:numFmt w:val="lowerRoman"/>
      <w:lvlText w:val="%6."/>
      <w:lvlJc w:val="right"/>
      <w:pPr>
        <w:ind w:left="6276" w:hanging="180"/>
      </w:pPr>
    </w:lvl>
    <w:lvl w:ilvl="6" w:tplc="0419000F" w:tentative="1">
      <w:start w:val="1"/>
      <w:numFmt w:val="decimal"/>
      <w:lvlText w:val="%7."/>
      <w:lvlJc w:val="left"/>
      <w:pPr>
        <w:ind w:left="6996" w:hanging="360"/>
      </w:pPr>
    </w:lvl>
    <w:lvl w:ilvl="7" w:tplc="04190019" w:tentative="1">
      <w:start w:val="1"/>
      <w:numFmt w:val="lowerLetter"/>
      <w:lvlText w:val="%8."/>
      <w:lvlJc w:val="left"/>
      <w:pPr>
        <w:ind w:left="7716" w:hanging="360"/>
      </w:pPr>
    </w:lvl>
    <w:lvl w:ilvl="8" w:tplc="0419001B" w:tentative="1">
      <w:start w:val="1"/>
      <w:numFmt w:val="lowerRoman"/>
      <w:lvlText w:val="%9."/>
      <w:lvlJc w:val="right"/>
      <w:pPr>
        <w:ind w:left="8436" w:hanging="180"/>
      </w:pPr>
    </w:lvl>
  </w:abstractNum>
  <w:abstractNum w:abstractNumId="28" w15:restartNumberingAfterBreak="0">
    <w:nsid w:val="3B811457"/>
    <w:multiLevelType w:val="hybridMultilevel"/>
    <w:tmpl w:val="F38AB3C6"/>
    <w:lvl w:ilvl="0" w:tplc="04190019">
      <w:start w:val="1"/>
      <w:numFmt w:val="lowerLetter"/>
      <w:lvlText w:val="%1."/>
      <w:lvlJc w:val="left"/>
      <w:pPr>
        <w:ind w:left="222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418C6BB9"/>
    <w:multiLevelType w:val="multilevel"/>
    <w:tmpl w:val="EA8821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495" w:hanging="495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auto"/>
      </w:rPr>
    </w:lvl>
  </w:abstractNum>
  <w:abstractNum w:abstractNumId="30" w15:restartNumberingAfterBreak="0">
    <w:nsid w:val="45021FE4"/>
    <w:multiLevelType w:val="multilevel"/>
    <w:tmpl w:val="452AC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 w15:restartNumberingAfterBreak="0">
    <w:nsid w:val="4BFA6C31"/>
    <w:multiLevelType w:val="multilevel"/>
    <w:tmpl w:val="D604DDB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52E13DAE"/>
    <w:multiLevelType w:val="hybridMultilevel"/>
    <w:tmpl w:val="FE1E6004"/>
    <w:lvl w:ilvl="0" w:tplc="875080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4396008"/>
    <w:multiLevelType w:val="hybridMultilevel"/>
    <w:tmpl w:val="73529616"/>
    <w:lvl w:ilvl="0" w:tplc="0419000F">
      <w:start w:val="1"/>
      <w:numFmt w:val="decimal"/>
      <w:pStyle w:val="2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0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B74D5"/>
    <w:multiLevelType w:val="hybridMultilevel"/>
    <w:tmpl w:val="AA0E60A2"/>
    <w:lvl w:ilvl="0" w:tplc="0419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8394974"/>
    <w:multiLevelType w:val="multilevel"/>
    <w:tmpl w:val="590EE4A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A5F3747"/>
    <w:multiLevelType w:val="hybridMultilevel"/>
    <w:tmpl w:val="44C48DA2"/>
    <w:lvl w:ilvl="0" w:tplc="0419000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7" w15:restartNumberingAfterBreak="0">
    <w:nsid w:val="5B865D57"/>
    <w:multiLevelType w:val="hybridMultilevel"/>
    <w:tmpl w:val="49B64C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03641EF"/>
    <w:multiLevelType w:val="multilevel"/>
    <w:tmpl w:val="590EE4A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48214FA"/>
    <w:multiLevelType w:val="multilevel"/>
    <w:tmpl w:val="83749A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52C22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6324D13"/>
    <w:multiLevelType w:val="multilevel"/>
    <w:tmpl w:val="02A25F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495" w:hanging="495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auto"/>
      </w:rPr>
    </w:lvl>
  </w:abstractNum>
  <w:abstractNum w:abstractNumId="42" w15:restartNumberingAfterBreak="0">
    <w:nsid w:val="69CB5800"/>
    <w:multiLevelType w:val="multilevel"/>
    <w:tmpl w:val="7046A34C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25B5EE7"/>
    <w:multiLevelType w:val="multilevel"/>
    <w:tmpl w:val="02A25F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346" w:hanging="495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auto"/>
      </w:rPr>
    </w:lvl>
  </w:abstractNum>
  <w:abstractNum w:abstractNumId="44" w15:restartNumberingAfterBreak="0">
    <w:nsid w:val="7E1122C2"/>
    <w:multiLevelType w:val="multilevel"/>
    <w:tmpl w:val="336CFFE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3"/>
  </w:num>
  <w:num w:numId="2">
    <w:abstractNumId w:val="11"/>
  </w:num>
  <w:num w:numId="3">
    <w:abstractNumId w:val="9"/>
  </w:num>
  <w:num w:numId="4">
    <w:abstractNumId w:val="14"/>
  </w:num>
  <w:num w:numId="5">
    <w:abstractNumId w:val="39"/>
  </w:num>
  <w:num w:numId="6">
    <w:abstractNumId w:val="36"/>
  </w:num>
  <w:num w:numId="7">
    <w:abstractNumId w:val="17"/>
  </w:num>
  <w:num w:numId="8">
    <w:abstractNumId w:val="30"/>
  </w:num>
  <w:num w:numId="9">
    <w:abstractNumId w:val="18"/>
  </w:num>
  <w:num w:numId="10">
    <w:abstractNumId w:val="7"/>
  </w:num>
  <w:num w:numId="11">
    <w:abstractNumId w:val="19"/>
  </w:num>
  <w:num w:numId="12">
    <w:abstractNumId w:val="24"/>
  </w:num>
  <w:num w:numId="13">
    <w:abstractNumId w:val="23"/>
  </w:num>
  <w:num w:numId="14">
    <w:abstractNumId w:val="0"/>
  </w:num>
  <w:num w:numId="15">
    <w:abstractNumId w:val="20"/>
  </w:num>
  <w:num w:numId="16">
    <w:abstractNumId w:val="42"/>
  </w:num>
  <w:num w:numId="17">
    <w:abstractNumId w:val="12"/>
  </w:num>
  <w:num w:numId="18">
    <w:abstractNumId w:val="44"/>
  </w:num>
  <w:num w:numId="19">
    <w:abstractNumId w:val="38"/>
  </w:num>
  <w:num w:numId="20">
    <w:abstractNumId w:val="2"/>
  </w:num>
  <w:num w:numId="21">
    <w:abstractNumId w:val="27"/>
  </w:num>
  <w:num w:numId="22">
    <w:abstractNumId w:val="32"/>
  </w:num>
  <w:num w:numId="23">
    <w:abstractNumId w:val="35"/>
  </w:num>
  <w:num w:numId="24">
    <w:abstractNumId w:val="34"/>
  </w:num>
  <w:num w:numId="25">
    <w:abstractNumId w:val="5"/>
  </w:num>
  <w:num w:numId="26">
    <w:abstractNumId w:val="21"/>
  </w:num>
  <w:num w:numId="27">
    <w:abstractNumId w:val="26"/>
  </w:num>
  <w:num w:numId="28">
    <w:abstractNumId w:val="13"/>
  </w:num>
  <w:num w:numId="29">
    <w:abstractNumId w:val="28"/>
  </w:num>
  <w:num w:numId="30">
    <w:abstractNumId w:val="37"/>
  </w:num>
  <w:num w:numId="31">
    <w:abstractNumId w:val="25"/>
  </w:num>
  <w:num w:numId="32">
    <w:abstractNumId w:val="43"/>
  </w:num>
  <w:num w:numId="33">
    <w:abstractNumId w:val="29"/>
  </w:num>
  <w:num w:numId="34">
    <w:abstractNumId w:val="22"/>
  </w:num>
  <w:num w:numId="35">
    <w:abstractNumId w:val="41"/>
  </w:num>
  <w:num w:numId="36">
    <w:abstractNumId w:val="6"/>
  </w:num>
  <w:num w:numId="37">
    <w:abstractNumId w:val="3"/>
  </w:num>
  <w:num w:numId="38">
    <w:abstractNumId w:val="8"/>
  </w:num>
  <w:num w:numId="39">
    <w:abstractNumId w:val="40"/>
  </w:num>
  <w:num w:numId="40">
    <w:abstractNumId w:val="1"/>
  </w:num>
  <w:num w:numId="41">
    <w:abstractNumId w:val="16"/>
  </w:num>
  <w:num w:numId="42">
    <w:abstractNumId w:val="31"/>
  </w:num>
  <w:num w:numId="43">
    <w:abstractNumId w:val="10"/>
  </w:num>
  <w:num w:numId="44">
    <w:abstractNumId w:val="1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70"/>
    <w:rsid w:val="00173495"/>
    <w:rsid w:val="00216160"/>
    <w:rsid w:val="003828B3"/>
    <w:rsid w:val="003B5323"/>
    <w:rsid w:val="00503589"/>
    <w:rsid w:val="005225C2"/>
    <w:rsid w:val="00550F88"/>
    <w:rsid w:val="005F6C85"/>
    <w:rsid w:val="00617FF3"/>
    <w:rsid w:val="006643C5"/>
    <w:rsid w:val="00710DA3"/>
    <w:rsid w:val="00800482"/>
    <w:rsid w:val="00800C70"/>
    <w:rsid w:val="00893C67"/>
    <w:rsid w:val="009E1051"/>
    <w:rsid w:val="00A37A74"/>
    <w:rsid w:val="00C85155"/>
    <w:rsid w:val="00FA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C0A75-9A66-4FFC-9428-F5F2C432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21"/>
    <w:link w:val="10"/>
    <w:qFormat/>
    <w:rsid w:val="00800C70"/>
    <w:pPr>
      <w:keepNext/>
      <w:keepLines/>
      <w:widowControl w:val="0"/>
      <w:overflowPunct w:val="0"/>
      <w:autoSpaceDE w:val="0"/>
      <w:autoSpaceDN w:val="0"/>
      <w:adjustRightInd w:val="0"/>
      <w:spacing w:before="360" w:after="6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paragraph" w:styleId="21">
    <w:name w:val="heading 2"/>
    <w:basedOn w:val="a"/>
    <w:link w:val="22"/>
    <w:qFormat/>
    <w:rsid w:val="00800C70"/>
    <w:pPr>
      <w:widowControl w:val="0"/>
      <w:tabs>
        <w:tab w:val="left" w:pos="397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link w:val="30"/>
    <w:qFormat/>
    <w:rsid w:val="00800C70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00C70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00C70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00C70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00C70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00C70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0C70"/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800C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0C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00C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0C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00C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00C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00C7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00C70"/>
  </w:style>
  <w:style w:type="table" w:customStyle="1" w:styleId="12">
    <w:name w:val="Сетка таблицы1"/>
    <w:basedOn w:val="a1"/>
    <w:next w:val="a3"/>
    <w:uiPriority w:val="59"/>
    <w:rsid w:val="00800C7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4"/>
    <w:qFormat/>
    <w:rsid w:val="00800C70"/>
    <w:pPr>
      <w:spacing w:after="0" w:line="240" w:lineRule="auto"/>
      <w:ind w:left="720"/>
      <w:contextualSpacing/>
      <w:jc w:val="both"/>
    </w:pPr>
  </w:style>
  <w:style w:type="paragraph" w:styleId="a5">
    <w:name w:val="Normal (Web)"/>
    <w:basedOn w:val="a"/>
    <w:uiPriority w:val="99"/>
    <w:rsid w:val="00800C7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00C7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Текст 1"/>
    <w:basedOn w:val="21"/>
    <w:link w:val="15"/>
    <w:rsid w:val="00800C70"/>
    <w:pPr>
      <w:spacing w:after="60"/>
    </w:pPr>
    <w:rPr>
      <w:b w:val="0"/>
      <w:szCs w:val="22"/>
    </w:rPr>
  </w:style>
  <w:style w:type="paragraph" w:styleId="31">
    <w:name w:val="List 3"/>
    <w:basedOn w:val="23"/>
    <w:rsid w:val="00800C70"/>
    <w:pPr>
      <w:widowControl w:val="0"/>
      <w:overflowPunct w:val="0"/>
      <w:autoSpaceDE w:val="0"/>
      <w:autoSpaceDN w:val="0"/>
      <w:adjustRightInd w:val="0"/>
      <w:spacing w:before="60" w:after="0" w:line="240" w:lineRule="auto"/>
      <w:ind w:left="0" w:firstLine="0"/>
      <w:contextualSpacing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Текст 1 Знак"/>
    <w:link w:val="14"/>
    <w:rsid w:val="00800C70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210">
    <w:name w:val="Список 21"/>
    <w:basedOn w:val="a"/>
    <w:next w:val="23"/>
    <w:uiPriority w:val="99"/>
    <w:semiHidden/>
    <w:unhideWhenUsed/>
    <w:rsid w:val="00800C70"/>
    <w:pPr>
      <w:spacing w:after="0" w:line="240" w:lineRule="auto"/>
      <w:ind w:left="566" w:hanging="283"/>
      <w:contextualSpacing/>
      <w:jc w:val="both"/>
    </w:pPr>
  </w:style>
  <w:style w:type="paragraph" w:customStyle="1" w:styleId="16">
    <w:name w:val="Текст сноски1"/>
    <w:basedOn w:val="a"/>
    <w:next w:val="a6"/>
    <w:link w:val="a7"/>
    <w:semiHidden/>
    <w:unhideWhenUsed/>
    <w:rsid w:val="00800C70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16"/>
    <w:semiHidden/>
    <w:rsid w:val="00800C70"/>
    <w:rPr>
      <w:sz w:val="20"/>
      <w:szCs w:val="20"/>
    </w:rPr>
  </w:style>
  <w:style w:type="character" w:styleId="a8">
    <w:name w:val="footnote reference"/>
    <w:basedOn w:val="a0"/>
    <w:semiHidden/>
    <w:rsid w:val="00800C70"/>
    <w:rPr>
      <w:rFonts w:cs="Times New Roman"/>
      <w:sz w:val="20"/>
      <w:vertAlign w:val="superscript"/>
    </w:rPr>
  </w:style>
  <w:style w:type="paragraph" w:customStyle="1" w:styleId="17">
    <w:name w:val="Текст выноски1"/>
    <w:basedOn w:val="a"/>
    <w:next w:val="a9"/>
    <w:link w:val="aa"/>
    <w:uiPriority w:val="99"/>
    <w:semiHidden/>
    <w:unhideWhenUsed/>
    <w:rsid w:val="00800C70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17"/>
    <w:uiPriority w:val="99"/>
    <w:semiHidden/>
    <w:rsid w:val="00800C70"/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next w:val="ab"/>
    <w:link w:val="ac"/>
    <w:uiPriority w:val="99"/>
    <w:unhideWhenUsed/>
    <w:rsid w:val="00800C70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c">
    <w:name w:val="Верхний колонтитул Знак"/>
    <w:basedOn w:val="a0"/>
    <w:link w:val="18"/>
    <w:uiPriority w:val="99"/>
    <w:rsid w:val="00800C70"/>
  </w:style>
  <w:style w:type="paragraph" w:customStyle="1" w:styleId="19">
    <w:name w:val="Нижний колонтитул1"/>
    <w:basedOn w:val="a"/>
    <w:next w:val="ad"/>
    <w:link w:val="ae"/>
    <w:uiPriority w:val="99"/>
    <w:unhideWhenUsed/>
    <w:rsid w:val="00800C70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e">
    <w:name w:val="Нижний колонтитул Знак"/>
    <w:basedOn w:val="a0"/>
    <w:link w:val="19"/>
    <w:uiPriority w:val="99"/>
    <w:rsid w:val="00800C70"/>
  </w:style>
  <w:style w:type="paragraph" w:customStyle="1" w:styleId="32">
    <w:name w:val="Титульный лист 3"/>
    <w:basedOn w:val="a"/>
    <w:rsid w:val="00800C7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0">
    <w:name w:val="Текст 2"/>
    <w:basedOn w:val="3"/>
    <w:rsid w:val="00800C70"/>
    <w:pPr>
      <w:numPr>
        <w:ilvl w:val="2"/>
        <w:numId w:val="1"/>
      </w:numPr>
      <w:ind w:left="993" w:hanging="567"/>
      <w:textAlignment w:val="auto"/>
    </w:pPr>
  </w:style>
  <w:style w:type="paragraph" w:customStyle="1" w:styleId="af">
    <w:name w:val="заголовок (ПОдразделыазделы)"/>
    <w:basedOn w:val="a"/>
    <w:next w:val="a"/>
    <w:autoRedefine/>
    <w:rsid w:val="00800C70"/>
    <w:pPr>
      <w:tabs>
        <w:tab w:val="left" w:pos="34"/>
      </w:tabs>
      <w:spacing w:after="0" w:line="240" w:lineRule="auto"/>
      <w:ind w:left="34" w:firstLine="361"/>
      <w:jc w:val="both"/>
    </w:pPr>
    <w:rPr>
      <w:rFonts w:eastAsia="Times New Roman" w:cs="Calibri"/>
      <w:bCs/>
      <w:sz w:val="20"/>
      <w:szCs w:val="20"/>
      <w:lang w:eastAsia="ru-RU"/>
    </w:rPr>
  </w:style>
  <w:style w:type="paragraph" w:styleId="2">
    <w:name w:val="toc 2"/>
    <w:basedOn w:val="a"/>
    <w:next w:val="a"/>
    <w:uiPriority w:val="39"/>
    <w:qFormat/>
    <w:rsid w:val="00800C70"/>
    <w:pPr>
      <w:widowControl w:val="0"/>
      <w:numPr>
        <w:numId w:val="2"/>
      </w:numPr>
      <w:tabs>
        <w:tab w:val="right" w:leader="dot" w:pos="9639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i/>
      <w:noProof/>
      <w:sz w:val="24"/>
      <w:szCs w:val="24"/>
      <w:lang w:eastAsia="ru-RU"/>
    </w:rPr>
  </w:style>
  <w:style w:type="paragraph" w:customStyle="1" w:styleId="1a">
    <w:name w:val="Список 1"/>
    <w:basedOn w:val="af0"/>
    <w:rsid w:val="00800C70"/>
    <w:pPr>
      <w:widowControl w:val="0"/>
      <w:tabs>
        <w:tab w:val="num" w:pos="851"/>
        <w:tab w:val="num" w:pos="1532"/>
      </w:tabs>
      <w:overflowPunct w:val="0"/>
      <w:autoSpaceDE w:val="0"/>
      <w:autoSpaceDN w:val="0"/>
      <w:adjustRightInd w:val="0"/>
      <w:spacing w:before="60" w:after="0" w:line="240" w:lineRule="auto"/>
      <w:ind w:left="851" w:hanging="425"/>
      <w:contextualSpacing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b">
    <w:name w:val="Маркированный список1"/>
    <w:basedOn w:val="a"/>
    <w:next w:val="af0"/>
    <w:uiPriority w:val="99"/>
    <w:semiHidden/>
    <w:unhideWhenUsed/>
    <w:rsid w:val="00800C70"/>
    <w:pPr>
      <w:tabs>
        <w:tab w:val="num" w:pos="1532"/>
      </w:tabs>
      <w:spacing w:after="0" w:line="240" w:lineRule="auto"/>
      <w:ind w:left="1532" w:hanging="397"/>
      <w:contextualSpacing/>
      <w:jc w:val="both"/>
    </w:pPr>
  </w:style>
  <w:style w:type="paragraph" w:styleId="af1">
    <w:name w:val="Body Text Indent"/>
    <w:basedOn w:val="a"/>
    <w:link w:val="af2"/>
    <w:rsid w:val="00800C7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800C7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3">
    <w:name w:val="Body Text Indent 3"/>
    <w:basedOn w:val="a"/>
    <w:link w:val="34"/>
    <w:rsid w:val="00800C70"/>
    <w:pPr>
      <w:tabs>
        <w:tab w:val="left" w:pos="868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800C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Hyperlink"/>
    <w:basedOn w:val="a0"/>
    <w:uiPriority w:val="99"/>
    <w:unhideWhenUsed/>
    <w:rsid w:val="00800C70"/>
    <w:rPr>
      <w:color w:val="0000FF"/>
      <w:u w:val="single"/>
    </w:rPr>
  </w:style>
  <w:style w:type="character" w:styleId="af4">
    <w:name w:val="Strong"/>
    <w:basedOn w:val="a0"/>
    <w:uiPriority w:val="22"/>
    <w:qFormat/>
    <w:rsid w:val="00800C70"/>
    <w:rPr>
      <w:b/>
      <w:bCs/>
    </w:rPr>
  </w:style>
  <w:style w:type="character" w:customStyle="1" w:styleId="apple-converted-space">
    <w:name w:val="apple-converted-space"/>
    <w:basedOn w:val="a0"/>
    <w:rsid w:val="00800C70"/>
  </w:style>
  <w:style w:type="paragraph" w:customStyle="1" w:styleId="formattext">
    <w:name w:val="formattext"/>
    <w:basedOn w:val="a"/>
    <w:rsid w:val="00800C7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800C70"/>
    <w:rPr>
      <w:sz w:val="16"/>
      <w:szCs w:val="16"/>
    </w:rPr>
  </w:style>
  <w:style w:type="paragraph" w:customStyle="1" w:styleId="1c">
    <w:name w:val="Текст примечания1"/>
    <w:basedOn w:val="a"/>
    <w:next w:val="af6"/>
    <w:link w:val="af7"/>
    <w:uiPriority w:val="99"/>
    <w:unhideWhenUsed/>
    <w:rsid w:val="00800C70"/>
    <w:pPr>
      <w:spacing w:after="0" w:line="240" w:lineRule="auto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1c"/>
    <w:uiPriority w:val="99"/>
    <w:rsid w:val="00800C70"/>
    <w:rPr>
      <w:sz w:val="20"/>
      <w:szCs w:val="20"/>
    </w:rPr>
  </w:style>
  <w:style w:type="paragraph" w:customStyle="1" w:styleId="1d">
    <w:name w:val="Тема примечания1"/>
    <w:basedOn w:val="af6"/>
    <w:next w:val="af6"/>
    <w:uiPriority w:val="99"/>
    <w:semiHidden/>
    <w:unhideWhenUsed/>
    <w:rsid w:val="00800C70"/>
    <w:pPr>
      <w:spacing w:after="0"/>
      <w:jc w:val="both"/>
    </w:pPr>
    <w:rPr>
      <w:b/>
      <w:bCs/>
    </w:rPr>
  </w:style>
  <w:style w:type="character" w:customStyle="1" w:styleId="af8">
    <w:name w:val="Тема примечания Знак"/>
    <w:basedOn w:val="af7"/>
    <w:link w:val="af9"/>
    <w:uiPriority w:val="99"/>
    <w:semiHidden/>
    <w:rsid w:val="00800C70"/>
    <w:rPr>
      <w:b/>
      <w:bCs/>
      <w:sz w:val="20"/>
      <w:szCs w:val="20"/>
    </w:rPr>
  </w:style>
  <w:style w:type="paragraph" w:customStyle="1" w:styleId="1e">
    <w:name w:val="Стиль1"/>
    <w:basedOn w:val="21"/>
    <w:link w:val="1f"/>
    <w:qFormat/>
    <w:rsid w:val="00800C70"/>
    <w:pPr>
      <w:tabs>
        <w:tab w:val="clear" w:pos="397"/>
        <w:tab w:val="left" w:pos="0"/>
      </w:tabs>
      <w:spacing w:before="120"/>
    </w:pPr>
    <w:rPr>
      <w:rFonts w:eastAsia="Calibri"/>
      <w:b w:val="0"/>
      <w:szCs w:val="24"/>
    </w:rPr>
  </w:style>
  <w:style w:type="character" w:customStyle="1" w:styleId="1f">
    <w:name w:val="Стиль1 Знак"/>
    <w:basedOn w:val="22"/>
    <w:link w:val="1e"/>
    <w:rsid w:val="00800C70"/>
    <w:rPr>
      <w:rFonts w:ascii="Times New Roman" w:eastAsia="Calibri" w:hAnsi="Times New Roman" w:cs="Times New Roman"/>
      <w:b w:val="0"/>
      <w:sz w:val="24"/>
      <w:szCs w:val="24"/>
      <w:lang w:eastAsia="ru-RU"/>
    </w:rPr>
  </w:style>
  <w:style w:type="paragraph" w:customStyle="1" w:styleId="1f0">
    <w:name w:val="Заголовок оглавления1"/>
    <w:basedOn w:val="1"/>
    <w:next w:val="a"/>
    <w:uiPriority w:val="39"/>
    <w:semiHidden/>
    <w:unhideWhenUsed/>
    <w:qFormat/>
    <w:rsid w:val="00800C70"/>
    <w:pPr>
      <w:widowControl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eastAsia="MS Gothic" w:hAnsi="Cambria"/>
      <w:color w:val="365F91"/>
      <w:kern w:val="0"/>
      <w:szCs w:val="28"/>
    </w:rPr>
  </w:style>
  <w:style w:type="paragraph" w:customStyle="1" w:styleId="110">
    <w:name w:val="Оглавление 11"/>
    <w:basedOn w:val="a"/>
    <w:next w:val="a"/>
    <w:autoRedefine/>
    <w:uiPriority w:val="39"/>
    <w:unhideWhenUsed/>
    <w:qFormat/>
    <w:rsid w:val="00800C70"/>
    <w:pPr>
      <w:widowControl w:val="0"/>
      <w:tabs>
        <w:tab w:val="left" w:pos="440"/>
        <w:tab w:val="right" w:leader="dot" w:pos="9627"/>
      </w:tabs>
      <w:overflowPunct w:val="0"/>
      <w:autoSpaceDE w:val="0"/>
      <w:autoSpaceDN w:val="0"/>
      <w:adjustRightInd w:val="0"/>
      <w:spacing w:before="60" w:after="0" w:line="360" w:lineRule="auto"/>
      <w:ind w:left="426" w:hanging="426"/>
      <w:textAlignment w:val="baseline"/>
    </w:pPr>
  </w:style>
  <w:style w:type="paragraph" w:customStyle="1" w:styleId="310">
    <w:name w:val="Оглавление 31"/>
    <w:basedOn w:val="a"/>
    <w:next w:val="a"/>
    <w:autoRedefine/>
    <w:uiPriority w:val="39"/>
    <w:semiHidden/>
    <w:unhideWhenUsed/>
    <w:qFormat/>
    <w:rsid w:val="00800C70"/>
    <w:pPr>
      <w:spacing w:after="100" w:line="240" w:lineRule="auto"/>
      <w:ind w:left="440"/>
      <w:jc w:val="both"/>
    </w:pPr>
    <w:rPr>
      <w:rFonts w:eastAsia="MS Mincho"/>
      <w:lang w:eastAsia="ru-RU"/>
    </w:rPr>
  </w:style>
  <w:style w:type="paragraph" w:customStyle="1" w:styleId="ConsPlusNormal">
    <w:name w:val="ConsPlusNormal"/>
    <w:rsid w:val="00800C7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a">
    <w:name w:val="ОБычный"/>
    <w:basedOn w:val="a"/>
    <w:link w:val="afb"/>
    <w:qFormat/>
    <w:rsid w:val="00800C70"/>
    <w:pPr>
      <w:widowControl w:val="0"/>
      <w:spacing w:before="60" w:after="0" w:line="312" w:lineRule="auto"/>
      <w:ind w:firstLine="709"/>
      <w:jc w:val="both"/>
    </w:pPr>
    <w:rPr>
      <w:rFonts w:ascii="Times New Roman" w:eastAsia="Arial Unicode MS" w:hAnsi="Times New Roman" w:cs="Times New Roman"/>
      <w:sz w:val="24"/>
      <w:szCs w:val="24"/>
      <w:lang w:eastAsia="ru-RU" w:bidi="ru-RU"/>
    </w:rPr>
  </w:style>
  <w:style w:type="character" w:customStyle="1" w:styleId="afb">
    <w:name w:val="ОБычный Знак"/>
    <w:basedOn w:val="a0"/>
    <w:link w:val="afa"/>
    <w:rsid w:val="00800C70"/>
    <w:rPr>
      <w:rFonts w:ascii="Times New Roman" w:eastAsia="Arial Unicode MS" w:hAnsi="Times New Roman" w:cs="Times New Roman"/>
      <w:sz w:val="24"/>
      <w:szCs w:val="24"/>
      <w:lang w:eastAsia="ru-RU" w:bidi="ru-RU"/>
    </w:rPr>
  </w:style>
  <w:style w:type="character" w:customStyle="1" w:styleId="24">
    <w:name w:val="Основной текст (2)_"/>
    <w:basedOn w:val="a0"/>
    <w:link w:val="211"/>
    <w:rsid w:val="00800C7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4"/>
    <w:rsid w:val="00800C7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f1">
    <w:name w:val="Текст концевой сноски1"/>
    <w:basedOn w:val="a"/>
    <w:next w:val="afc"/>
    <w:link w:val="afd"/>
    <w:uiPriority w:val="99"/>
    <w:semiHidden/>
    <w:unhideWhenUsed/>
    <w:rsid w:val="00800C70"/>
    <w:pPr>
      <w:spacing w:after="0" w:line="240" w:lineRule="auto"/>
      <w:jc w:val="both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1f1"/>
    <w:uiPriority w:val="99"/>
    <w:semiHidden/>
    <w:rsid w:val="00800C70"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sid w:val="00800C70"/>
    <w:rPr>
      <w:vertAlign w:val="superscript"/>
    </w:rPr>
  </w:style>
  <w:style w:type="character" w:styleId="aff">
    <w:name w:val="FollowedHyperlink"/>
    <w:basedOn w:val="a0"/>
    <w:uiPriority w:val="99"/>
    <w:semiHidden/>
    <w:unhideWhenUsed/>
    <w:rsid w:val="00800C70"/>
    <w:rPr>
      <w:color w:val="800080"/>
      <w:u w:val="single"/>
    </w:rPr>
  </w:style>
  <w:style w:type="paragraph" w:customStyle="1" w:styleId="1f2">
    <w:name w:val="Рецензия1"/>
    <w:next w:val="aff0"/>
    <w:hidden/>
    <w:uiPriority w:val="99"/>
    <w:semiHidden/>
    <w:rsid w:val="00800C70"/>
    <w:pPr>
      <w:spacing w:after="0" w:line="240" w:lineRule="auto"/>
    </w:pPr>
  </w:style>
  <w:style w:type="character" w:customStyle="1" w:styleId="Mention">
    <w:name w:val="Mention"/>
    <w:basedOn w:val="a0"/>
    <w:uiPriority w:val="99"/>
    <w:semiHidden/>
    <w:unhideWhenUsed/>
    <w:rsid w:val="00800C70"/>
    <w:rPr>
      <w:color w:val="2B579A"/>
      <w:shd w:val="clear" w:color="auto" w:fill="E6E6E6"/>
    </w:rPr>
  </w:style>
  <w:style w:type="table" w:styleId="a3">
    <w:name w:val="Table Grid"/>
    <w:basedOn w:val="a1"/>
    <w:uiPriority w:val="39"/>
    <w:rsid w:val="0080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C70"/>
    <w:pPr>
      <w:ind w:left="720"/>
      <w:contextualSpacing/>
    </w:pPr>
  </w:style>
  <w:style w:type="paragraph" w:styleId="23">
    <w:name w:val="List 2"/>
    <w:basedOn w:val="a"/>
    <w:uiPriority w:val="99"/>
    <w:semiHidden/>
    <w:unhideWhenUsed/>
    <w:rsid w:val="00800C70"/>
    <w:pPr>
      <w:ind w:left="566" w:hanging="283"/>
      <w:contextualSpacing/>
    </w:pPr>
  </w:style>
  <w:style w:type="paragraph" w:styleId="a6">
    <w:name w:val="footnote text"/>
    <w:basedOn w:val="a"/>
    <w:link w:val="1f3"/>
    <w:uiPriority w:val="99"/>
    <w:semiHidden/>
    <w:unhideWhenUsed/>
    <w:rsid w:val="00800C70"/>
    <w:pPr>
      <w:spacing w:after="0" w:line="240" w:lineRule="auto"/>
    </w:pPr>
    <w:rPr>
      <w:sz w:val="20"/>
      <w:szCs w:val="20"/>
    </w:rPr>
  </w:style>
  <w:style w:type="character" w:customStyle="1" w:styleId="1f3">
    <w:name w:val="Текст сноски Знак1"/>
    <w:basedOn w:val="a0"/>
    <w:link w:val="a6"/>
    <w:uiPriority w:val="99"/>
    <w:semiHidden/>
    <w:rsid w:val="00800C70"/>
    <w:rPr>
      <w:sz w:val="20"/>
      <w:szCs w:val="20"/>
    </w:rPr>
  </w:style>
  <w:style w:type="paragraph" w:styleId="a9">
    <w:name w:val="Balloon Text"/>
    <w:basedOn w:val="a"/>
    <w:link w:val="1f4"/>
    <w:uiPriority w:val="99"/>
    <w:semiHidden/>
    <w:unhideWhenUsed/>
    <w:rsid w:val="00800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4">
    <w:name w:val="Текст выноски Знак1"/>
    <w:basedOn w:val="a0"/>
    <w:link w:val="a9"/>
    <w:uiPriority w:val="99"/>
    <w:semiHidden/>
    <w:rsid w:val="00800C70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1f5"/>
    <w:uiPriority w:val="99"/>
    <w:unhideWhenUsed/>
    <w:rsid w:val="00800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5">
    <w:name w:val="Верхний колонтитул Знак1"/>
    <w:basedOn w:val="a0"/>
    <w:link w:val="ab"/>
    <w:uiPriority w:val="99"/>
    <w:rsid w:val="00800C70"/>
  </w:style>
  <w:style w:type="paragraph" w:styleId="ad">
    <w:name w:val="footer"/>
    <w:basedOn w:val="a"/>
    <w:link w:val="1f6"/>
    <w:uiPriority w:val="99"/>
    <w:unhideWhenUsed/>
    <w:rsid w:val="00800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6">
    <w:name w:val="Нижний колонтитул Знак1"/>
    <w:basedOn w:val="a0"/>
    <w:link w:val="ad"/>
    <w:uiPriority w:val="99"/>
    <w:rsid w:val="00800C70"/>
  </w:style>
  <w:style w:type="paragraph" w:styleId="af0">
    <w:name w:val="List Bullet"/>
    <w:basedOn w:val="a"/>
    <w:uiPriority w:val="99"/>
    <w:semiHidden/>
    <w:unhideWhenUsed/>
    <w:rsid w:val="00800C70"/>
    <w:pPr>
      <w:ind w:left="720" w:hanging="360"/>
      <w:contextualSpacing/>
    </w:pPr>
  </w:style>
  <w:style w:type="paragraph" w:styleId="af6">
    <w:name w:val="annotation text"/>
    <w:basedOn w:val="a"/>
    <w:link w:val="1f7"/>
    <w:uiPriority w:val="99"/>
    <w:semiHidden/>
    <w:unhideWhenUsed/>
    <w:rsid w:val="00800C70"/>
    <w:pPr>
      <w:spacing w:line="240" w:lineRule="auto"/>
    </w:pPr>
    <w:rPr>
      <w:sz w:val="20"/>
      <w:szCs w:val="20"/>
    </w:rPr>
  </w:style>
  <w:style w:type="character" w:customStyle="1" w:styleId="1f7">
    <w:name w:val="Текст примечания Знак1"/>
    <w:basedOn w:val="a0"/>
    <w:link w:val="af6"/>
    <w:uiPriority w:val="99"/>
    <w:semiHidden/>
    <w:rsid w:val="00800C70"/>
    <w:rPr>
      <w:sz w:val="20"/>
      <w:szCs w:val="20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800C70"/>
    <w:rPr>
      <w:b/>
      <w:bCs/>
    </w:rPr>
  </w:style>
  <w:style w:type="character" w:customStyle="1" w:styleId="1f8">
    <w:name w:val="Тема примечания Знак1"/>
    <w:basedOn w:val="1f7"/>
    <w:uiPriority w:val="99"/>
    <w:semiHidden/>
    <w:rsid w:val="00800C70"/>
    <w:rPr>
      <w:b/>
      <w:bCs/>
      <w:sz w:val="20"/>
      <w:szCs w:val="20"/>
    </w:rPr>
  </w:style>
  <w:style w:type="paragraph" w:styleId="afc">
    <w:name w:val="endnote text"/>
    <w:basedOn w:val="a"/>
    <w:link w:val="1f9"/>
    <w:uiPriority w:val="99"/>
    <w:semiHidden/>
    <w:unhideWhenUsed/>
    <w:rsid w:val="00800C70"/>
    <w:pPr>
      <w:spacing w:after="0" w:line="240" w:lineRule="auto"/>
    </w:pPr>
    <w:rPr>
      <w:sz w:val="20"/>
      <w:szCs w:val="20"/>
    </w:rPr>
  </w:style>
  <w:style w:type="character" w:customStyle="1" w:styleId="1f9">
    <w:name w:val="Текст концевой сноски Знак1"/>
    <w:basedOn w:val="a0"/>
    <w:link w:val="afc"/>
    <w:uiPriority w:val="99"/>
    <w:semiHidden/>
    <w:rsid w:val="00800C70"/>
    <w:rPr>
      <w:sz w:val="20"/>
      <w:szCs w:val="20"/>
    </w:rPr>
  </w:style>
  <w:style w:type="paragraph" w:styleId="aff0">
    <w:name w:val="Revision"/>
    <w:hidden/>
    <w:uiPriority w:val="99"/>
    <w:semiHidden/>
    <w:rsid w:val="00800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5325</Words>
  <Characters>30357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 С.В.</dc:creator>
  <cp:keywords/>
  <dc:description/>
  <cp:lastModifiedBy>Олег Викторович Исаев</cp:lastModifiedBy>
  <cp:revision>2</cp:revision>
  <dcterms:created xsi:type="dcterms:W3CDTF">2017-04-24T13:56:00Z</dcterms:created>
  <dcterms:modified xsi:type="dcterms:W3CDTF">2017-04-24T13:56:00Z</dcterms:modified>
</cp:coreProperties>
</file>